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284" w:lineRule="auto"/>
        <w:ind w:right="325" w:rightChars="155" w:firstLine="566" w:firstLineChars="109"/>
        <w:jc w:val="center"/>
        <w:rPr>
          <w:rFonts w:hint="eastAsia" w:ascii="黑体" w:hAnsi="黑体" w:eastAsia="黑体"/>
          <w:sz w:val="52"/>
          <w:szCs w:val="52"/>
        </w:rPr>
      </w:pPr>
    </w:p>
    <w:p>
      <w:pPr>
        <w:spacing w:line="284" w:lineRule="auto"/>
        <w:ind w:right="325" w:rightChars="155" w:firstLine="566" w:firstLineChars="109"/>
        <w:jc w:val="center"/>
        <w:rPr>
          <w:rFonts w:hint="eastAsia" w:ascii="黑体" w:hAnsi="黑体" w:eastAsia="黑体"/>
          <w:sz w:val="52"/>
          <w:szCs w:val="52"/>
        </w:rPr>
      </w:pPr>
    </w:p>
    <w:p>
      <w:pPr>
        <w:spacing w:line="284" w:lineRule="auto"/>
        <w:ind w:right="325" w:rightChars="155" w:firstLine="566" w:firstLineChars="109"/>
        <w:jc w:val="center"/>
        <w:rPr>
          <w:rFonts w:hint="eastAsia" w:ascii="黑体" w:hAnsi="黑体" w:eastAsia="黑体"/>
          <w:sz w:val="52"/>
          <w:szCs w:val="52"/>
        </w:rPr>
      </w:pPr>
    </w:p>
    <w:p>
      <w:pPr>
        <w:spacing w:line="284" w:lineRule="auto"/>
        <w:ind w:firstLine="723" w:firstLineChars="100"/>
        <w:jc w:val="center"/>
        <w:rPr>
          <w:rFonts w:hint="eastAsia" w:ascii="黑体" w:hAnsi="黑体" w:eastAsia="黑体"/>
          <w:b/>
          <w:bCs/>
          <w:sz w:val="72"/>
          <w:szCs w:val="72"/>
        </w:rPr>
      </w:pPr>
      <w:r>
        <w:rPr>
          <w:rFonts w:hint="eastAsia" w:ascii="黑体" w:hAnsi="黑体" w:eastAsia="黑体"/>
          <w:b/>
          <w:bCs/>
          <w:sz w:val="72"/>
          <w:szCs w:val="72"/>
        </w:rPr>
        <w:t>20</w:t>
      </w:r>
      <w:r>
        <w:rPr>
          <w:rFonts w:ascii="黑体" w:hAnsi="黑体" w:eastAsia="黑体"/>
          <w:b/>
          <w:bCs/>
          <w:sz w:val="72"/>
          <w:szCs w:val="72"/>
        </w:rPr>
        <w:t>2</w:t>
      </w:r>
      <w:r>
        <w:rPr>
          <w:rFonts w:hint="eastAsia" w:ascii="黑体" w:hAnsi="黑体" w:eastAsia="黑体"/>
          <w:b/>
          <w:bCs/>
          <w:sz w:val="72"/>
          <w:szCs w:val="72"/>
          <w:lang w:val="en-US" w:eastAsia="zh-CN"/>
        </w:rPr>
        <w:t>2</w:t>
      </w:r>
      <w:r>
        <w:rPr>
          <w:rFonts w:hint="eastAsia" w:ascii="黑体" w:hAnsi="黑体" w:eastAsia="黑体"/>
          <w:b/>
          <w:bCs/>
          <w:sz w:val="72"/>
          <w:szCs w:val="72"/>
        </w:rPr>
        <w:t>年度</w:t>
      </w:r>
    </w:p>
    <w:p>
      <w:pPr>
        <w:spacing w:line="284" w:lineRule="auto"/>
        <w:ind w:firstLine="723" w:firstLineChars="100"/>
        <w:jc w:val="center"/>
        <w:rPr>
          <w:rFonts w:hint="eastAsia" w:ascii="黑体" w:hAnsi="黑体" w:eastAsia="黑体"/>
          <w:b/>
          <w:bCs/>
          <w:sz w:val="72"/>
          <w:szCs w:val="72"/>
        </w:rPr>
      </w:pPr>
      <w:r>
        <w:rPr>
          <w:rFonts w:hint="eastAsia" w:ascii="黑体" w:hAnsi="黑体" w:eastAsia="黑体"/>
          <w:b/>
          <w:bCs/>
          <w:sz w:val="72"/>
          <w:szCs w:val="72"/>
        </w:rPr>
        <w:t>社会责任报告</w:t>
      </w: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firstLine="784" w:firstLineChars="109"/>
        <w:rPr>
          <w:rFonts w:hint="eastAsia" w:ascii="黑体" w:hAnsi="黑体" w:eastAsia="黑体"/>
          <w:sz w:val="72"/>
          <w:szCs w:val="72"/>
        </w:rPr>
      </w:pPr>
    </w:p>
    <w:p>
      <w:pPr>
        <w:spacing w:line="284" w:lineRule="auto"/>
        <w:ind w:right="325" w:rightChars="155"/>
        <w:jc w:val="center"/>
        <w:rPr>
          <w:rFonts w:hint="eastAsia" w:ascii="黑体" w:hAnsi="黑体" w:eastAsia="黑体"/>
          <w:sz w:val="36"/>
          <w:szCs w:val="36"/>
        </w:rPr>
      </w:pPr>
      <w:r>
        <w:rPr>
          <w:rFonts w:hint="eastAsia" w:ascii="黑体" w:hAnsi="黑体" w:eastAsia="黑体"/>
          <w:sz w:val="36"/>
          <w:szCs w:val="36"/>
        </w:rPr>
        <w:t>浙江伟博包装印刷品有限公司</w:t>
      </w:r>
    </w:p>
    <w:p>
      <w:pPr>
        <w:spacing w:line="284" w:lineRule="auto"/>
        <w:ind w:right="325" w:rightChars="155"/>
        <w:jc w:val="center"/>
        <w:rPr>
          <w:rFonts w:hint="eastAsia" w:ascii="黑体" w:hAnsi="黑体" w:eastAsia="黑体"/>
          <w:sz w:val="36"/>
          <w:szCs w:val="36"/>
        </w:rPr>
      </w:pPr>
      <w:r>
        <w:rPr>
          <w:rFonts w:hint="eastAsia" w:ascii="黑体" w:hAnsi="黑体" w:eastAsia="黑体"/>
          <w:sz w:val="36"/>
          <w:szCs w:val="36"/>
        </w:rPr>
        <w:t>202</w:t>
      </w:r>
      <w:r>
        <w:rPr>
          <w:rFonts w:hint="eastAsia" w:ascii="黑体" w:hAnsi="黑体" w:eastAsia="黑体"/>
          <w:sz w:val="36"/>
          <w:szCs w:val="36"/>
          <w:lang w:val="en-US" w:eastAsia="zh-CN"/>
        </w:rPr>
        <w:t>2</w:t>
      </w:r>
      <w:r>
        <w:rPr>
          <w:rFonts w:hint="eastAsia" w:ascii="黑体" w:hAnsi="黑体" w:eastAsia="黑体"/>
          <w:sz w:val="36"/>
          <w:szCs w:val="36"/>
        </w:rPr>
        <w:t>年</w:t>
      </w:r>
      <w:r>
        <w:rPr>
          <w:rFonts w:hint="eastAsia" w:ascii="黑体" w:hAnsi="黑体" w:eastAsia="黑体"/>
          <w:sz w:val="36"/>
          <w:szCs w:val="36"/>
          <w:lang w:val="en-US" w:eastAsia="zh-CN"/>
        </w:rPr>
        <w:t>10</w:t>
      </w:r>
      <w:r>
        <w:rPr>
          <w:rFonts w:hint="eastAsia" w:ascii="黑体" w:hAnsi="黑体" w:eastAsia="黑体"/>
          <w:sz w:val="36"/>
          <w:szCs w:val="36"/>
        </w:rPr>
        <w:t>月</w:t>
      </w:r>
    </w:p>
    <w:p>
      <w:pPr>
        <w:pStyle w:val="38"/>
        <w:ind w:right="325" w:rightChars="155" w:firstLine="640"/>
        <w:rPr>
          <w:rFonts w:hint="eastAsia"/>
        </w:rPr>
      </w:pPr>
      <w:r>
        <w:rPr>
          <w:szCs w:val="22"/>
        </w:rPr>
        <w:br w:type="page"/>
      </w:r>
      <w:bookmarkStart w:id="0" w:name="_Toc28399"/>
      <w:r>
        <w:rPr>
          <w:rFonts w:hint="eastAsia"/>
        </w:rPr>
        <w:t>关于本报告</w:t>
      </w:r>
      <w:bookmarkEnd w:id="0"/>
    </w:p>
    <w:p>
      <w:pPr>
        <w:spacing w:line="360" w:lineRule="auto"/>
        <w:rPr>
          <w:rFonts w:hint="eastAsia" w:ascii="宋体" w:hAnsi="宋体"/>
          <w:bCs/>
          <w:sz w:val="24"/>
        </w:rPr>
      </w:pPr>
      <w:bookmarkStart w:id="1" w:name="_Toc493596484"/>
      <w:r>
        <w:rPr>
          <w:rFonts w:hint="eastAsia" w:ascii="宋体" w:hAnsi="宋体"/>
          <w:bCs/>
          <w:sz w:val="24"/>
        </w:rPr>
        <w:t xml:space="preserve">1、 </w:t>
      </w:r>
      <w:bookmarkEnd w:id="1"/>
      <w:r>
        <w:rPr>
          <w:rFonts w:hint="eastAsia" w:ascii="宋体" w:hAnsi="宋体"/>
          <w:bCs/>
          <w:sz w:val="24"/>
        </w:rPr>
        <w:t>报告范围</w:t>
      </w:r>
    </w:p>
    <w:p>
      <w:pPr>
        <w:spacing w:line="360" w:lineRule="auto"/>
        <w:ind w:firstLine="480" w:firstLineChars="200"/>
        <w:rPr>
          <w:rFonts w:hint="eastAsia" w:ascii="宋体" w:hAnsi="宋体"/>
          <w:sz w:val="24"/>
        </w:rPr>
      </w:pPr>
      <w:r>
        <w:rPr>
          <w:rFonts w:hint="eastAsia" w:ascii="宋体" w:hAnsi="宋体"/>
          <w:sz w:val="24"/>
        </w:rPr>
        <w:t>本报告以浙江伟博包装印刷品有限公司为主体，披露了20</w:t>
      </w:r>
      <w:r>
        <w:rPr>
          <w:rFonts w:ascii="宋体" w:hAnsi="宋体"/>
          <w:sz w:val="24"/>
        </w:rPr>
        <w:t>2</w:t>
      </w:r>
      <w:r>
        <w:rPr>
          <w:rFonts w:hint="eastAsia" w:ascii="宋体" w:hAnsi="宋体"/>
          <w:sz w:val="24"/>
          <w:lang w:val="en-US" w:eastAsia="zh-CN"/>
        </w:rPr>
        <w:t>2</w:t>
      </w:r>
      <w:r>
        <w:rPr>
          <w:rFonts w:hint="eastAsia" w:ascii="宋体" w:hAnsi="宋体"/>
          <w:sz w:val="24"/>
        </w:rPr>
        <w:t>年企业履行政治、经济、社会和生态责任方面的内容。</w:t>
      </w:r>
    </w:p>
    <w:p>
      <w:pPr>
        <w:spacing w:line="360" w:lineRule="auto"/>
        <w:ind w:firstLine="480" w:firstLineChars="200"/>
        <w:rPr>
          <w:rFonts w:hint="eastAsia" w:ascii="宋体" w:hAnsi="宋体"/>
          <w:sz w:val="24"/>
        </w:rPr>
      </w:pPr>
    </w:p>
    <w:p>
      <w:pPr>
        <w:spacing w:line="360" w:lineRule="auto"/>
        <w:rPr>
          <w:rFonts w:hint="eastAsia" w:ascii="宋体" w:hAnsi="宋体"/>
          <w:bCs/>
          <w:sz w:val="24"/>
        </w:rPr>
      </w:pPr>
      <w:r>
        <w:rPr>
          <w:rFonts w:hint="eastAsia" w:ascii="宋体" w:hAnsi="宋体"/>
          <w:bCs/>
          <w:sz w:val="24"/>
        </w:rPr>
        <w:t>2 称谓说明</w:t>
      </w:r>
    </w:p>
    <w:p>
      <w:pPr>
        <w:spacing w:line="360" w:lineRule="auto"/>
        <w:ind w:firstLine="480" w:firstLineChars="200"/>
        <w:rPr>
          <w:rFonts w:hint="eastAsia" w:ascii="宋体" w:hAnsi="宋体"/>
          <w:sz w:val="24"/>
        </w:rPr>
      </w:pPr>
      <w:r>
        <w:rPr>
          <w:rFonts w:hint="eastAsia" w:ascii="宋体" w:hAnsi="宋体"/>
          <w:sz w:val="24"/>
        </w:rPr>
        <w:t>为表述方便，报告把“浙江伟博包装印刷品有限公司”简称为“</w:t>
      </w:r>
      <w:r>
        <w:rPr>
          <w:rFonts w:hint="eastAsia" w:ascii="宋体" w:hAnsi="宋体"/>
          <w:sz w:val="24"/>
          <w:lang w:eastAsia="zh-CN"/>
        </w:rPr>
        <w:t>伟博包装</w:t>
      </w:r>
      <w:r>
        <w:rPr>
          <w:rFonts w:hint="eastAsia" w:ascii="宋体" w:hAnsi="宋体"/>
          <w:sz w:val="24"/>
        </w:rPr>
        <w:t>”或“公司”。</w:t>
      </w:r>
    </w:p>
    <w:p>
      <w:pPr>
        <w:spacing w:line="360" w:lineRule="auto"/>
        <w:ind w:firstLine="480" w:firstLineChars="200"/>
        <w:rPr>
          <w:rFonts w:hint="eastAsia" w:ascii="宋体" w:hAnsi="宋体"/>
          <w:sz w:val="24"/>
        </w:rPr>
      </w:pPr>
    </w:p>
    <w:p>
      <w:pPr>
        <w:spacing w:line="360" w:lineRule="auto"/>
        <w:rPr>
          <w:rFonts w:hint="eastAsia" w:ascii="宋体" w:hAnsi="宋体"/>
          <w:bCs/>
          <w:sz w:val="24"/>
        </w:rPr>
      </w:pPr>
      <w:bookmarkStart w:id="2" w:name="_Toc493596487"/>
      <w:r>
        <w:rPr>
          <w:rFonts w:hint="eastAsia" w:ascii="宋体" w:hAnsi="宋体"/>
          <w:bCs/>
          <w:sz w:val="24"/>
        </w:rPr>
        <w:t>3 报告时间</w:t>
      </w:r>
      <w:bookmarkEnd w:id="2"/>
      <w:r>
        <w:rPr>
          <w:rFonts w:hint="eastAsia" w:ascii="宋体" w:hAnsi="宋体"/>
          <w:bCs/>
          <w:sz w:val="24"/>
        </w:rPr>
        <w:t>和频次</w:t>
      </w:r>
    </w:p>
    <w:p>
      <w:pPr>
        <w:spacing w:line="360" w:lineRule="auto"/>
        <w:ind w:firstLine="480" w:firstLineChars="200"/>
        <w:rPr>
          <w:rFonts w:hint="eastAsia" w:ascii="宋体" w:hAnsi="宋体"/>
          <w:sz w:val="24"/>
        </w:rPr>
      </w:pPr>
      <w:r>
        <w:rPr>
          <w:rFonts w:hint="eastAsia" w:ascii="宋体" w:hAnsi="宋体"/>
          <w:sz w:val="24"/>
        </w:rPr>
        <w:t>20</w:t>
      </w:r>
      <w:r>
        <w:rPr>
          <w:rFonts w:ascii="宋体" w:hAnsi="宋体"/>
          <w:sz w:val="24"/>
        </w:rPr>
        <w:t>2</w:t>
      </w:r>
      <w:r>
        <w:rPr>
          <w:rFonts w:hint="eastAsia" w:ascii="宋体" w:hAnsi="宋体"/>
          <w:sz w:val="24"/>
          <w:lang w:val="en-US" w:eastAsia="zh-CN"/>
        </w:rPr>
        <w:t>2</w:t>
      </w:r>
      <w:r>
        <w:rPr>
          <w:rFonts w:hint="eastAsia" w:ascii="宋体" w:hAnsi="宋体"/>
          <w:sz w:val="24"/>
        </w:rPr>
        <w:t>年1月1日至20</w:t>
      </w:r>
      <w:r>
        <w:rPr>
          <w:rFonts w:ascii="宋体" w:hAnsi="宋体"/>
          <w:sz w:val="24"/>
        </w:rPr>
        <w:t>2</w:t>
      </w:r>
      <w:r>
        <w:rPr>
          <w:rFonts w:hint="eastAsia" w:ascii="宋体" w:hAnsi="宋体"/>
          <w:sz w:val="24"/>
          <w:lang w:val="en-US" w:eastAsia="zh-CN"/>
        </w:rPr>
        <w:t>2</w:t>
      </w:r>
      <w:r>
        <w:rPr>
          <w:rFonts w:hint="eastAsia" w:ascii="宋体" w:hAnsi="宋体"/>
          <w:sz w:val="24"/>
        </w:rPr>
        <w:t>年12月31日，部分数据及内容超出上述范围。</w:t>
      </w:r>
    </w:p>
    <w:p>
      <w:pPr>
        <w:spacing w:line="360" w:lineRule="auto"/>
        <w:ind w:firstLine="480" w:firstLineChars="200"/>
        <w:rPr>
          <w:rFonts w:hint="eastAsia" w:ascii="宋体" w:hAnsi="宋体"/>
          <w:sz w:val="24"/>
        </w:rPr>
      </w:pPr>
      <w:r>
        <w:rPr>
          <w:rFonts w:hint="eastAsia" w:ascii="宋体" w:hAnsi="宋体"/>
          <w:sz w:val="24"/>
        </w:rPr>
        <w:t>本报告为年度报告。</w:t>
      </w:r>
    </w:p>
    <w:p>
      <w:pPr>
        <w:spacing w:line="360" w:lineRule="auto"/>
        <w:ind w:firstLine="480" w:firstLineChars="200"/>
        <w:rPr>
          <w:rFonts w:hint="eastAsia" w:ascii="宋体" w:hAnsi="宋体"/>
          <w:sz w:val="24"/>
        </w:rPr>
      </w:pPr>
    </w:p>
    <w:p>
      <w:pPr>
        <w:spacing w:line="360" w:lineRule="auto"/>
        <w:rPr>
          <w:rFonts w:hint="eastAsia" w:ascii="宋体" w:hAnsi="宋体"/>
          <w:bCs/>
          <w:sz w:val="24"/>
        </w:rPr>
      </w:pPr>
      <w:bookmarkStart w:id="3" w:name="_Toc493596490"/>
      <w:r>
        <w:rPr>
          <w:rFonts w:hint="eastAsia" w:ascii="宋体" w:hAnsi="宋体"/>
          <w:bCs/>
          <w:sz w:val="24"/>
        </w:rPr>
        <w:t>4 报告</w:t>
      </w:r>
      <w:bookmarkEnd w:id="3"/>
      <w:r>
        <w:rPr>
          <w:rFonts w:hint="eastAsia" w:ascii="宋体" w:hAnsi="宋体"/>
          <w:bCs/>
          <w:sz w:val="24"/>
        </w:rPr>
        <w:t>发布形式</w:t>
      </w:r>
    </w:p>
    <w:p>
      <w:pPr>
        <w:spacing w:line="360" w:lineRule="auto"/>
        <w:ind w:firstLine="480" w:firstLineChars="200"/>
        <w:rPr>
          <w:rFonts w:hint="eastAsia" w:ascii="宋体" w:hAnsi="宋体"/>
          <w:sz w:val="24"/>
        </w:rPr>
      </w:pPr>
      <w:r>
        <w:rPr>
          <w:rFonts w:hint="eastAsia" w:ascii="宋体" w:hAnsi="宋体"/>
          <w:sz w:val="24"/>
        </w:rPr>
        <w:t>本报告以电子文档形式发布，其中电子文档可在</w:t>
      </w:r>
      <w:r>
        <w:rPr>
          <w:rFonts w:hint="eastAsia"/>
        </w:rPr>
        <w:t>http://www.wellvast-packaging.net/</w:t>
      </w:r>
      <w:r>
        <w:rPr>
          <w:rFonts w:hint="eastAsia" w:ascii="宋体" w:hAnsi="宋体"/>
          <w:sz w:val="24"/>
        </w:rPr>
        <w:t>网站下载阅读。</w:t>
      </w:r>
    </w:p>
    <w:p>
      <w:pPr>
        <w:spacing w:line="360" w:lineRule="auto"/>
        <w:ind w:firstLine="480" w:firstLineChars="200"/>
        <w:rPr>
          <w:rFonts w:hint="eastAsia" w:ascii="宋体" w:hAnsi="宋体"/>
          <w:sz w:val="24"/>
        </w:rPr>
      </w:pPr>
    </w:p>
    <w:p>
      <w:pPr>
        <w:pStyle w:val="11"/>
        <w:tabs>
          <w:tab w:val="right" w:leader="dot" w:pos="8931"/>
          <w:tab w:val="clear" w:pos="8296"/>
        </w:tabs>
        <w:snapToGrid w:val="0"/>
        <w:spacing w:after="0" w:line="480" w:lineRule="auto"/>
        <w:ind w:right="325" w:rightChars="155"/>
        <w:jc w:val="center"/>
        <w:rPr>
          <w:sz w:val="36"/>
          <w:szCs w:val="36"/>
        </w:rPr>
      </w:pPr>
      <w:r>
        <w:rPr>
          <w:rFonts w:ascii="宋体" w:hAnsi="宋体" w:eastAsia="宋体"/>
        </w:rPr>
        <w:br w:type="page"/>
      </w:r>
      <w:r>
        <w:rPr>
          <w:rFonts w:ascii="宋体" w:hAnsi="宋体" w:eastAsia="宋体"/>
          <w:sz w:val="36"/>
          <w:szCs w:val="36"/>
        </w:rPr>
        <w:t>目</w:t>
      </w:r>
      <w:r>
        <w:rPr>
          <w:rFonts w:hint="eastAsia" w:ascii="宋体" w:hAnsi="宋体" w:eastAsia="宋体"/>
          <w:sz w:val="36"/>
          <w:szCs w:val="36"/>
        </w:rPr>
        <w:t xml:space="preserve">   </w:t>
      </w:r>
      <w:r>
        <w:rPr>
          <w:rFonts w:ascii="宋体" w:hAnsi="宋体" w:eastAsia="宋体"/>
          <w:sz w:val="36"/>
          <w:szCs w:val="36"/>
        </w:rPr>
        <w:t>录</w:t>
      </w:r>
    </w:p>
    <w:p>
      <w:pPr>
        <w:pStyle w:val="44"/>
        <w:tabs>
          <w:tab w:val="right" w:leader="dot" w:pos="8306"/>
        </w:tabs>
        <w:rPr>
          <w:b/>
        </w:rPr>
      </w:pPr>
      <w:r>
        <w:rPr>
          <w:rFonts w:hint="eastAsia"/>
          <w:szCs w:val="22"/>
        </w:rPr>
        <w:fldChar w:fldCharType="begin"/>
      </w:r>
      <w:r>
        <w:rPr>
          <w:rFonts w:hint="eastAsia"/>
          <w:szCs w:val="22"/>
        </w:rPr>
        <w:instrText xml:space="preserve">TOC \o "1-2" \h \u </w:instrText>
      </w:r>
      <w:r>
        <w:rPr>
          <w:rFonts w:hint="eastAsia"/>
          <w:szCs w:val="22"/>
        </w:rPr>
        <w:fldChar w:fldCharType="separate"/>
      </w:r>
    </w:p>
    <w:p>
      <w:pPr>
        <w:pStyle w:val="44"/>
        <w:tabs>
          <w:tab w:val="right" w:leader="dot" w:pos="8306"/>
        </w:tabs>
        <w:spacing w:line="480" w:lineRule="auto"/>
        <w:rPr>
          <w:b/>
          <w:sz w:val="28"/>
          <w:szCs w:val="28"/>
        </w:rPr>
      </w:pPr>
      <w:r>
        <w:rPr>
          <w:rFonts w:hint="eastAsia"/>
          <w:b/>
          <w:sz w:val="28"/>
          <w:szCs w:val="28"/>
        </w:rPr>
        <w:fldChar w:fldCharType="begin"/>
      </w:r>
      <w:r>
        <w:rPr>
          <w:rFonts w:hint="eastAsia"/>
          <w:b/>
          <w:sz w:val="28"/>
          <w:szCs w:val="28"/>
        </w:rPr>
        <w:instrText xml:space="preserve"> HYPERLINK \l _Toc1156 </w:instrText>
      </w:r>
      <w:r>
        <w:rPr>
          <w:rFonts w:hint="eastAsia"/>
          <w:b/>
          <w:sz w:val="28"/>
          <w:szCs w:val="28"/>
        </w:rPr>
        <w:fldChar w:fldCharType="separate"/>
      </w:r>
      <w:r>
        <w:rPr>
          <w:b/>
          <w:sz w:val="28"/>
          <w:szCs w:val="28"/>
        </w:rPr>
        <w:t xml:space="preserve">一、 </w:t>
      </w:r>
      <w:r>
        <w:rPr>
          <w:rFonts w:hint="eastAsia"/>
          <w:b/>
          <w:sz w:val="28"/>
          <w:szCs w:val="28"/>
        </w:rPr>
        <w:t>企业概况</w:t>
      </w:r>
      <w:r>
        <w:rPr>
          <w:b/>
          <w:sz w:val="28"/>
          <w:szCs w:val="28"/>
        </w:rPr>
        <w:tab/>
      </w:r>
      <w:r>
        <w:rPr>
          <w:b/>
          <w:sz w:val="28"/>
          <w:szCs w:val="28"/>
        </w:rPr>
        <w:fldChar w:fldCharType="begin"/>
      </w:r>
      <w:r>
        <w:rPr>
          <w:b/>
          <w:sz w:val="28"/>
          <w:szCs w:val="28"/>
        </w:rPr>
        <w:instrText xml:space="preserve"> PAGEREF _Toc1156 </w:instrText>
      </w:r>
      <w:r>
        <w:rPr>
          <w:b/>
          <w:sz w:val="28"/>
          <w:szCs w:val="28"/>
        </w:rPr>
        <w:fldChar w:fldCharType="separate"/>
      </w:r>
      <w:r>
        <w:rPr>
          <w:b/>
          <w:sz w:val="28"/>
          <w:szCs w:val="28"/>
        </w:rPr>
        <w:t>1</w:t>
      </w:r>
      <w:r>
        <w:rPr>
          <w:b/>
          <w:sz w:val="28"/>
          <w:szCs w:val="28"/>
        </w:rPr>
        <w:fldChar w:fldCharType="end"/>
      </w:r>
      <w:r>
        <w:rPr>
          <w:rFonts w:hint="eastAsia"/>
          <w:b/>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_Toc7546 </w:instrText>
      </w:r>
      <w:r>
        <w:rPr>
          <w:rFonts w:hint="eastAsia"/>
          <w:sz w:val="28"/>
          <w:szCs w:val="28"/>
        </w:rPr>
        <w:fldChar w:fldCharType="separate"/>
      </w:r>
      <w:r>
        <w:rPr>
          <w:rFonts w:hint="eastAsia" w:ascii="宋体" w:hAnsi="宋体"/>
          <w:sz w:val="28"/>
          <w:szCs w:val="28"/>
        </w:rPr>
        <w:t>1.1公司简介</w:t>
      </w:r>
      <w:r>
        <w:rPr>
          <w:sz w:val="28"/>
          <w:szCs w:val="28"/>
        </w:rPr>
        <w:tab/>
      </w:r>
      <w:r>
        <w:rPr>
          <w:sz w:val="28"/>
          <w:szCs w:val="28"/>
        </w:rPr>
        <w:fldChar w:fldCharType="begin"/>
      </w:r>
      <w:r>
        <w:rPr>
          <w:sz w:val="28"/>
          <w:szCs w:val="28"/>
        </w:rPr>
        <w:instrText xml:space="preserve"> PAGEREF _Toc7546 </w:instrText>
      </w:r>
      <w:r>
        <w:rPr>
          <w:sz w:val="28"/>
          <w:szCs w:val="28"/>
        </w:rPr>
        <w:fldChar w:fldCharType="separate"/>
      </w:r>
      <w:r>
        <w:rPr>
          <w:sz w:val="28"/>
          <w:szCs w:val="28"/>
        </w:rPr>
        <w:t>1</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_Toc13842 </w:instrText>
      </w:r>
      <w:r>
        <w:rPr>
          <w:rFonts w:hint="eastAsia"/>
          <w:sz w:val="28"/>
          <w:szCs w:val="28"/>
        </w:rPr>
        <w:fldChar w:fldCharType="separate"/>
      </w:r>
      <w:r>
        <w:rPr>
          <w:rFonts w:hint="eastAsia" w:ascii="宋体" w:hAnsi="宋体"/>
          <w:sz w:val="28"/>
          <w:szCs w:val="28"/>
        </w:rPr>
        <w:t>1.2 企业文化</w:t>
      </w:r>
      <w:r>
        <w:rPr>
          <w:sz w:val="28"/>
          <w:szCs w:val="28"/>
        </w:rPr>
        <w:tab/>
      </w:r>
      <w:r>
        <w:rPr>
          <w:sz w:val="28"/>
          <w:szCs w:val="28"/>
        </w:rPr>
        <w:fldChar w:fldCharType="begin"/>
      </w:r>
      <w:r>
        <w:rPr>
          <w:sz w:val="28"/>
          <w:szCs w:val="28"/>
        </w:rPr>
        <w:instrText xml:space="preserve"> PAGEREF _Toc13842 </w:instrText>
      </w:r>
      <w:r>
        <w:rPr>
          <w:sz w:val="28"/>
          <w:szCs w:val="28"/>
        </w:rPr>
        <w:fldChar w:fldCharType="separate"/>
      </w:r>
      <w:r>
        <w:rPr>
          <w:sz w:val="28"/>
          <w:szCs w:val="28"/>
        </w:rPr>
        <w:t>2</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_Toc10702 </w:instrText>
      </w:r>
      <w:r>
        <w:rPr>
          <w:rFonts w:hint="eastAsia"/>
          <w:sz w:val="28"/>
          <w:szCs w:val="28"/>
        </w:rPr>
        <w:fldChar w:fldCharType="separate"/>
      </w:r>
      <w:r>
        <w:rPr>
          <w:rFonts w:hint="eastAsia" w:ascii="宋体" w:hAnsi="宋体"/>
          <w:sz w:val="28"/>
          <w:szCs w:val="28"/>
        </w:rPr>
        <w:t>1.3最高</w:t>
      </w:r>
      <w:r>
        <w:rPr>
          <w:rFonts w:ascii="宋体" w:hAnsi="宋体"/>
          <w:sz w:val="28"/>
          <w:szCs w:val="28"/>
        </w:rPr>
        <w:t>管理者的社会责任承诺</w:t>
      </w:r>
      <w:r>
        <w:rPr>
          <w:sz w:val="28"/>
          <w:szCs w:val="28"/>
        </w:rPr>
        <w:tab/>
      </w:r>
      <w:r>
        <w:rPr>
          <w:sz w:val="28"/>
          <w:szCs w:val="28"/>
        </w:rPr>
        <w:fldChar w:fldCharType="begin"/>
      </w:r>
      <w:r>
        <w:rPr>
          <w:sz w:val="28"/>
          <w:szCs w:val="28"/>
        </w:rPr>
        <w:instrText xml:space="preserve"> PAGEREF _Toc10702 </w:instrText>
      </w:r>
      <w:r>
        <w:rPr>
          <w:sz w:val="28"/>
          <w:szCs w:val="28"/>
        </w:rPr>
        <w:fldChar w:fldCharType="separate"/>
      </w:r>
      <w:r>
        <w:rPr>
          <w:sz w:val="28"/>
          <w:szCs w:val="28"/>
        </w:rPr>
        <w:t>3</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_Toc7741 </w:instrText>
      </w:r>
      <w:r>
        <w:rPr>
          <w:rFonts w:hint="eastAsia"/>
          <w:sz w:val="28"/>
          <w:szCs w:val="28"/>
        </w:rPr>
        <w:fldChar w:fldCharType="separate"/>
      </w:r>
      <w:r>
        <w:rPr>
          <w:rFonts w:hint="eastAsia" w:ascii="宋体" w:hAnsi="宋体"/>
          <w:sz w:val="28"/>
          <w:szCs w:val="28"/>
        </w:rPr>
        <w:t>1.4 社会</w:t>
      </w:r>
      <w:r>
        <w:rPr>
          <w:rFonts w:ascii="宋体" w:hAnsi="宋体"/>
          <w:sz w:val="28"/>
          <w:szCs w:val="28"/>
        </w:rPr>
        <w:t>责任</w:t>
      </w:r>
      <w:r>
        <w:rPr>
          <w:rFonts w:hint="eastAsia" w:ascii="宋体" w:hAnsi="宋体"/>
          <w:sz w:val="28"/>
          <w:szCs w:val="28"/>
        </w:rPr>
        <w:t>战略</w:t>
      </w:r>
      <w:r>
        <w:rPr>
          <w:sz w:val="28"/>
          <w:szCs w:val="28"/>
        </w:rPr>
        <w:tab/>
      </w:r>
      <w:r>
        <w:rPr>
          <w:sz w:val="28"/>
          <w:szCs w:val="28"/>
        </w:rPr>
        <w:fldChar w:fldCharType="begin"/>
      </w:r>
      <w:r>
        <w:rPr>
          <w:sz w:val="28"/>
          <w:szCs w:val="28"/>
        </w:rPr>
        <w:instrText xml:space="preserve"> PAGEREF _Toc7741 </w:instrText>
      </w:r>
      <w:r>
        <w:rPr>
          <w:sz w:val="28"/>
          <w:szCs w:val="28"/>
        </w:rPr>
        <w:fldChar w:fldCharType="separate"/>
      </w:r>
      <w:r>
        <w:rPr>
          <w:sz w:val="28"/>
          <w:szCs w:val="28"/>
        </w:rPr>
        <w:t>4</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_Toc31094 </w:instrText>
      </w:r>
      <w:r>
        <w:rPr>
          <w:rFonts w:hint="eastAsia"/>
          <w:sz w:val="28"/>
          <w:szCs w:val="28"/>
        </w:rPr>
        <w:fldChar w:fldCharType="separate"/>
      </w:r>
      <w:r>
        <w:rPr>
          <w:rFonts w:hint="eastAsia" w:ascii="宋体" w:hAnsi="宋体"/>
          <w:sz w:val="28"/>
          <w:szCs w:val="28"/>
        </w:rPr>
        <w:t>1.5 利益</w:t>
      </w:r>
      <w:r>
        <w:rPr>
          <w:rFonts w:ascii="宋体" w:hAnsi="宋体"/>
          <w:sz w:val="28"/>
          <w:szCs w:val="28"/>
        </w:rPr>
        <w:t>相关方识别和沟通</w:t>
      </w:r>
      <w:r>
        <w:rPr>
          <w:sz w:val="28"/>
          <w:szCs w:val="28"/>
        </w:rPr>
        <w:tab/>
      </w:r>
      <w:r>
        <w:rPr>
          <w:sz w:val="28"/>
          <w:szCs w:val="28"/>
        </w:rPr>
        <w:fldChar w:fldCharType="begin"/>
      </w:r>
      <w:r>
        <w:rPr>
          <w:sz w:val="28"/>
          <w:szCs w:val="28"/>
        </w:rPr>
        <w:instrText xml:space="preserve"> PAGEREF _Toc31094 </w:instrText>
      </w:r>
      <w:r>
        <w:rPr>
          <w:sz w:val="28"/>
          <w:szCs w:val="28"/>
        </w:rPr>
        <w:fldChar w:fldCharType="separate"/>
      </w:r>
      <w:r>
        <w:rPr>
          <w:sz w:val="28"/>
          <w:szCs w:val="28"/>
        </w:rPr>
        <w:t>4</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_Toc24369 </w:instrText>
      </w:r>
      <w:r>
        <w:rPr>
          <w:rFonts w:hint="eastAsia"/>
          <w:sz w:val="28"/>
          <w:szCs w:val="28"/>
        </w:rPr>
        <w:fldChar w:fldCharType="separate"/>
      </w:r>
      <w:r>
        <w:rPr>
          <w:rFonts w:hint="eastAsia" w:ascii="宋体" w:hAnsi="宋体"/>
          <w:sz w:val="28"/>
          <w:szCs w:val="28"/>
        </w:rPr>
        <w:t>二、社会责任绩效</w:t>
      </w:r>
      <w:r>
        <w:rPr>
          <w:sz w:val="28"/>
          <w:szCs w:val="28"/>
        </w:rPr>
        <w:tab/>
      </w:r>
      <w:r>
        <w:rPr>
          <w:sz w:val="28"/>
          <w:szCs w:val="28"/>
        </w:rPr>
        <w:fldChar w:fldCharType="begin"/>
      </w:r>
      <w:r>
        <w:rPr>
          <w:sz w:val="28"/>
          <w:szCs w:val="28"/>
        </w:rPr>
        <w:instrText xml:space="preserve"> PAGEREF _Toc24369 </w:instrText>
      </w:r>
      <w:r>
        <w:rPr>
          <w:sz w:val="28"/>
          <w:szCs w:val="28"/>
        </w:rPr>
        <w:fldChar w:fldCharType="separate"/>
      </w:r>
      <w:r>
        <w:rPr>
          <w:sz w:val="28"/>
          <w:szCs w:val="28"/>
        </w:rPr>
        <w:t>5</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_Toc26801 </w:instrText>
      </w:r>
      <w:r>
        <w:rPr>
          <w:rFonts w:hint="eastAsia"/>
          <w:sz w:val="28"/>
          <w:szCs w:val="28"/>
        </w:rPr>
        <w:fldChar w:fldCharType="separate"/>
      </w:r>
      <w:r>
        <w:rPr>
          <w:rFonts w:hint="eastAsia" w:ascii="宋体" w:hAnsi="宋体"/>
          <w:sz w:val="28"/>
          <w:szCs w:val="28"/>
        </w:rPr>
        <w:t>2.1社会责任履行情况</w:t>
      </w:r>
      <w:r>
        <w:rPr>
          <w:sz w:val="28"/>
          <w:szCs w:val="28"/>
        </w:rPr>
        <w:tab/>
      </w:r>
      <w:r>
        <w:rPr>
          <w:sz w:val="28"/>
          <w:szCs w:val="28"/>
        </w:rPr>
        <w:fldChar w:fldCharType="begin"/>
      </w:r>
      <w:r>
        <w:rPr>
          <w:sz w:val="28"/>
          <w:szCs w:val="28"/>
        </w:rPr>
        <w:instrText xml:space="preserve"> PAGEREF _Toc26801 </w:instrText>
      </w:r>
      <w:r>
        <w:rPr>
          <w:sz w:val="28"/>
          <w:szCs w:val="28"/>
        </w:rPr>
        <w:fldChar w:fldCharType="separate"/>
      </w:r>
      <w:r>
        <w:rPr>
          <w:sz w:val="28"/>
          <w:szCs w:val="28"/>
        </w:rPr>
        <w:t>5</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_Toc6284 </w:instrText>
      </w:r>
      <w:r>
        <w:rPr>
          <w:rFonts w:hint="eastAsia"/>
          <w:sz w:val="28"/>
          <w:szCs w:val="28"/>
        </w:rPr>
        <w:fldChar w:fldCharType="separate"/>
      </w:r>
      <w:r>
        <w:rPr>
          <w:rFonts w:hint="eastAsia" w:ascii="宋体" w:hAnsi="宋体"/>
          <w:sz w:val="28"/>
          <w:szCs w:val="28"/>
        </w:rPr>
        <w:t>2.2股东及其他相关方利益保护</w:t>
      </w:r>
      <w:r>
        <w:rPr>
          <w:sz w:val="28"/>
          <w:szCs w:val="28"/>
        </w:rPr>
        <w:tab/>
      </w:r>
      <w:r>
        <w:rPr>
          <w:sz w:val="28"/>
          <w:szCs w:val="28"/>
        </w:rPr>
        <w:fldChar w:fldCharType="begin"/>
      </w:r>
      <w:r>
        <w:rPr>
          <w:sz w:val="28"/>
          <w:szCs w:val="28"/>
        </w:rPr>
        <w:instrText xml:space="preserve"> PAGEREF _Toc6284 </w:instrText>
      </w:r>
      <w:r>
        <w:rPr>
          <w:sz w:val="28"/>
          <w:szCs w:val="28"/>
        </w:rPr>
        <w:fldChar w:fldCharType="separate"/>
      </w:r>
      <w:r>
        <w:rPr>
          <w:sz w:val="28"/>
          <w:szCs w:val="28"/>
        </w:rPr>
        <w:t>5</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_Toc29847 </w:instrText>
      </w:r>
      <w:r>
        <w:rPr>
          <w:rFonts w:hint="eastAsia"/>
          <w:sz w:val="28"/>
          <w:szCs w:val="28"/>
        </w:rPr>
        <w:fldChar w:fldCharType="separate"/>
      </w:r>
      <w:r>
        <w:rPr>
          <w:rFonts w:hint="eastAsia" w:ascii="宋体" w:hAnsi="宋体"/>
          <w:sz w:val="28"/>
          <w:szCs w:val="28"/>
        </w:rPr>
        <w:t>2.3员工权益保护</w:t>
      </w:r>
      <w:r>
        <w:rPr>
          <w:sz w:val="28"/>
          <w:szCs w:val="28"/>
        </w:rPr>
        <w:tab/>
      </w:r>
      <w:r>
        <w:rPr>
          <w:sz w:val="28"/>
          <w:szCs w:val="28"/>
        </w:rPr>
        <w:fldChar w:fldCharType="begin"/>
      </w:r>
      <w:r>
        <w:rPr>
          <w:sz w:val="28"/>
          <w:szCs w:val="28"/>
        </w:rPr>
        <w:instrText xml:space="preserve"> PAGEREF _Toc29847 </w:instrText>
      </w:r>
      <w:r>
        <w:rPr>
          <w:sz w:val="28"/>
          <w:szCs w:val="28"/>
        </w:rPr>
        <w:fldChar w:fldCharType="separate"/>
      </w:r>
      <w:r>
        <w:rPr>
          <w:sz w:val="28"/>
          <w:szCs w:val="28"/>
        </w:rPr>
        <w:t>6</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_Toc27540 </w:instrText>
      </w:r>
      <w:r>
        <w:rPr>
          <w:rFonts w:hint="eastAsia"/>
          <w:sz w:val="28"/>
          <w:szCs w:val="28"/>
        </w:rPr>
        <w:fldChar w:fldCharType="separate"/>
      </w:r>
      <w:r>
        <w:rPr>
          <w:rFonts w:hint="eastAsia" w:ascii="宋体" w:hAnsi="宋体"/>
          <w:sz w:val="28"/>
          <w:szCs w:val="28"/>
        </w:rPr>
        <w:t>2.4债权人、供应商、顾客等利益相关方的权益保护</w:t>
      </w:r>
      <w:r>
        <w:rPr>
          <w:sz w:val="28"/>
          <w:szCs w:val="28"/>
        </w:rPr>
        <w:tab/>
      </w:r>
      <w:r>
        <w:rPr>
          <w:sz w:val="28"/>
          <w:szCs w:val="28"/>
        </w:rPr>
        <w:fldChar w:fldCharType="begin"/>
      </w:r>
      <w:r>
        <w:rPr>
          <w:sz w:val="28"/>
          <w:szCs w:val="28"/>
        </w:rPr>
        <w:instrText xml:space="preserve"> PAGEREF _Toc27540 </w:instrText>
      </w:r>
      <w:r>
        <w:rPr>
          <w:sz w:val="28"/>
          <w:szCs w:val="28"/>
        </w:rPr>
        <w:fldChar w:fldCharType="separate"/>
      </w:r>
      <w:r>
        <w:rPr>
          <w:sz w:val="28"/>
          <w:szCs w:val="28"/>
        </w:rPr>
        <w:t>11</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_Toc15215 </w:instrText>
      </w:r>
      <w:r>
        <w:rPr>
          <w:rFonts w:hint="eastAsia"/>
          <w:sz w:val="28"/>
          <w:szCs w:val="28"/>
        </w:rPr>
        <w:fldChar w:fldCharType="separate"/>
      </w:r>
      <w:r>
        <w:rPr>
          <w:rFonts w:hint="eastAsia" w:ascii="宋体" w:hAnsi="宋体"/>
          <w:sz w:val="28"/>
          <w:szCs w:val="28"/>
        </w:rPr>
        <w:t>2.5公共责任</w:t>
      </w:r>
      <w:r>
        <w:rPr>
          <w:rFonts w:ascii="宋体" w:hAnsi="宋体"/>
          <w:sz w:val="28"/>
          <w:szCs w:val="28"/>
        </w:rPr>
        <w:t>和可持续发展</w:t>
      </w:r>
      <w:r>
        <w:rPr>
          <w:sz w:val="28"/>
          <w:szCs w:val="28"/>
        </w:rPr>
        <w:tab/>
      </w:r>
      <w:r>
        <w:rPr>
          <w:sz w:val="28"/>
          <w:szCs w:val="28"/>
        </w:rPr>
        <w:fldChar w:fldCharType="begin"/>
      </w:r>
      <w:r>
        <w:rPr>
          <w:sz w:val="28"/>
          <w:szCs w:val="28"/>
        </w:rPr>
        <w:instrText xml:space="preserve"> PAGEREF _Toc15215 </w:instrText>
      </w:r>
      <w:r>
        <w:rPr>
          <w:sz w:val="28"/>
          <w:szCs w:val="28"/>
        </w:rPr>
        <w:fldChar w:fldCharType="separate"/>
      </w:r>
      <w:r>
        <w:rPr>
          <w:sz w:val="28"/>
          <w:szCs w:val="28"/>
        </w:rPr>
        <w:t>12</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_Toc1869 </w:instrText>
      </w:r>
      <w:r>
        <w:rPr>
          <w:rFonts w:hint="eastAsia"/>
          <w:sz w:val="28"/>
          <w:szCs w:val="28"/>
        </w:rPr>
        <w:fldChar w:fldCharType="separate"/>
      </w:r>
      <w:r>
        <w:rPr>
          <w:rFonts w:hint="eastAsia" w:ascii="宋体" w:hAnsi="宋体"/>
          <w:sz w:val="28"/>
          <w:szCs w:val="28"/>
        </w:rPr>
        <w:t>2.6道德行为</w:t>
      </w:r>
      <w:r>
        <w:rPr>
          <w:sz w:val="28"/>
          <w:szCs w:val="28"/>
        </w:rPr>
        <w:tab/>
      </w:r>
      <w:r>
        <w:rPr>
          <w:sz w:val="28"/>
          <w:szCs w:val="28"/>
        </w:rPr>
        <w:fldChar w:fldCharType="begin"/>
      </w:r>
      <w:r>
        <w:rPr>
          <w:sz w:val="28"/>
          <w:szCs w:val="28"/>
        </w:rPr>
        <w:instrText xml:space="preserve"> PAGEREF _Toc1869 </w:instrText>
      </w:r>
      <w:r>
        <w:rPr>
          <w:sz w:val="28"/>
          <w:szCs w:val="28"/>
        </w:rPr>
        <w:fldChar w:fldCharType="separate"/>
      </w:r>
      <w:r>
        <w:rPr>
          <w:sz w:val="28"/>
          <w:szCs w:val="28"/>
        </w:rPr>
        <w:t>13</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rPr>
          <w:sz w:val="28"/>
          <w:szCs w:val="28"/>
        </w:rPr>
      </w:pPr>
      <w:r>
        <w:rPr>
          <w:rFonts w:hint="eastAsia"/>
          <w:sz w:val="28"/>
          <w:szCs w:val="28"/>
        </w:rPr>
        <w:fldChar w:fldCharType="begin"/>
      </w:r>
      <w:r>
        <w:rPr>
          <w:rFonts w:hint="eastAsia"/>
          <w:sz w:val="28"/>
          <w:szCs w:val="28"/>
        </w:rPr>
        <w:instrText xml:space="preserve"> HYPERLINK \l _Toc23239 </w:instrText>
      </w:r>
      <w:r>
        <w:rPr>
          <w:rFonts w:hint="eastAsia"/>
          <w:sz w:val="28"/>
          <w:szCs w:val="28"/>
        </w:rPr>
        <w:fldChar w:fldCharType="separate"/>
      </w:r>
      <w:r>
        <w:rPr>
          <w:rFonts w:hint="eastAsia" w:ascii="宋体" w:hAnsi="宋体"/>
          <w:sz w:val="28"/>
          <w:szCs w:val="28"/>
        </w:rPr>
        <w:t>2.7公益支持</w:t>
      </w:r>
      <w:r>
        <w:rPr>
          <w:sz w:val="28"/>
          <w:szCs w:val="28"/>
        </w:rPr>
        <w:tab/>
      </w:r>
      <w:r>
        <w:rPr>
          <w:sz w:val="28"/>
          <w:szCs w:val="28"/>
        </w:rPr>
        <w:fldChar w:fldCharType="begin"/>
      </w:r>
      <w:r>
        <w:rPr>
          <w:sz w:val="28"/>
          <w:szCs w:val="28"/>
        </w:rPr>
        <w:instrText xml:space="preserve"> PAGEREF _Toc23239 </w:instrText>
      </w:r>
      <w:r>
        <w:rPr>
          <w:sz w:val="28"/>
          <w:szCs w:val="28"/>
        </w:rPr>
        <w:fldChar w:fldCharType="separate"/>
      </w:r>
      <w:r>
        <w:rPr>
          <w:sz w:val="28"/>
          <w:szCs w:val="28"/>
        </w:rPr>
        <w:t>14</w:t>
      </w:r>
      <w:r>
        <w:rPr>
          <w:sz w:val="28"/>
          <w:szCs w:val="28"/>
        </w:rPr>
        <w:fldChar w:fldCharType="end"/>
      </w:r>
      <w:r>
        <w:rPr>
          <w:rFonts w:hint="eastAsia"/>
          <w:sz w:val="28"/>
          <w:szCs w:val="28"/>
        </w:rPr>
        <w:fldChar w:fldCharType="end"/>
      </w:r>
    </w:p>
    <w:p>
      <w:pPr>
        <w:pStyle w:val="41"/>
        <w:tabs>
          <w:tab w:val="right" w:leader="dot" w:pos="8306"/>
        </w:tabs>
        <w:spacing w:line="480" w:lineRule="auto"/>
        <w:ind w:leftChars="0"/>
      </w:pPr>
      <w:r>
        <w:rPr>
          <w:rFonts w:hint="eastAsia"/>
          <w:sz w:val="28"/>
          <w:szCs w:val="28"/>
        </w:rPr>
        <w:fldChar w:fldCharType="begin"/>
      </w:r>
      <w:r>
        <w:rPr>
          <w:rFonts w:hint="eastAsia"/>
          <w:sz w:val="28"/>
          <w:szCs w:val="28"/>
        </w:rPr>
        <w:instrText xml:space="preserve"> HYPERLINK \l _Toc11035 </w:instrText>
      </w:r>
      <w:r>
        <w:rPr>
          <w:rFonts w:hint="eastAsia"/>
          <w:sz w:val="28"/>
          <w:szCs w:val="28"/>
        </w:rPr>
        <w:fldChar w:fldCharType="separate"/>
      </w:r>
      <w:r>
        <w:rPr>
          <w:rFonts w:hint="eastAsia" w:ascii="宋体" w:hAnsi="宋体"/>
          <w:sz w:val="28"/>
          <w:szCs w:val="28"/>
        </w:rPr>
        <w:t>三、总结与展望</w:t>
      </w:r>
      <w:r>
        <w:rPr>
          <w:sz w:val="28"/>
          <w:szCs w:val="28"/>
        </w:rPr>
        <w:tab/>
      </w:r>
      <w:r>
        <w:rPr>
          <w:sz w:val="28"/>
          <w:szCs w:val="28"/>
        </w:rPr>
        <w:fldChar w:fldCharType="begin"/>
      </w:r>
      <w:r>
        <w:rPr>
          <w:sz w:val="28"/>
          <w:szCs w:val="28"/>
        </w:rPr>
        <w:instrText xml:space="preserve"> PAGEREF _Toc11035 </w:instrText>
      </w:r>
      <w:r>
        <w:rPr>
          <w:sz w:val="28"/>
          <w:szCs w:val="28"/>
        </w:rPr>
        <w:fldChar w:fldCharType="separate"/>
      </w:r>
      <w:r>
        <w:rPr>
          <w:sz w:val="28"/>
          <w:szCs w:val="28"/>
        </w:rPr>
        <w:t>15</w:t>
      </w:r>
      <w:r>
        <w:rPr>
          <w:sz w:val="28"/>
          <w:szCs w:val="28"/>
        </w:rPr>
        <w:fldChar w:fldCharType="end"/>
      </w:r>
      <w:r>
        <w:rPr>
          <w:rFonts w:hint="eastAsia"/>
          <w:sz w:val="28"/>
          <w:szCs w:val="28"/>
        </w:rPr>
        <w:fldChar w:fldCharType="end"/>
      </w:r>
    </w:p>
    <w:p>
      <w:pPr>
        <w:ind w:right="325" w:rightChars="155"/>
        <w:jc w:val="center"/>
        <w:rPr>
          <w:rFonts w:hint="eastAsia"/>
          <w:szCs w:val="22"/>
        </w:rPr>
      </w:pPr>
      <w:r>
        <w:rPr>
          <w:rFonts w:hint="eastAsia"/>
          <w:b/>
          <w:szCs w:val="22"/>
        </w:rPr>
        <w:fldChar w:fldCharType="end"/>
      </w:r>
    </w:p>
    <w:p>
      <w:pPr>
        <w:ind w:right="325" w:rightChars="155"/>
        <w:rPr>
          <w:szCs w:val="22"/>
        </w:rPr>
        <w:sectPr>
          <w:headerReference r:id="rId4" w:type="first"/>
          <w:headerReference r:id="rId3" w:type="default"/>
          <w:type w:val="continuous"/>
          <w:pgSz w:w="11906" w:h="16838"/>
          <w:pgMar w:top="1440" w:right="1800" w:bottom="1440" w:left="1800" w:header="851" w:footer="0" w:gutter="0"/>
          <w:pgNumType w:fmt="decimal" w:start="4"/>
          <w:cols w:space="720" w:num="1"/>
          <w:titlePg/>
          <w:docGrid w:type="lines" w:linePitch="312" w:charSpace="0"/>
        </w:sectPr>
      </w:pPr>
    </w:p>
    <w:p>
      <w:pPr>
        <w:pStyle w:val="2"/>
        <w:numPr>
          <w:ilvl w:val="0"/>
          <w:numId w:val="3"/>
        </w:numPr>
        <w:spacing w:before="0" w:after="0" w:line="360" w:lineRule="auto"/>
        <w:rPr>
          <w:sz w:val="32"/>
          <w:szCs w:val="32"/>
        </w:rPr>
      </w:pPr>
      <w:bookmarkStart w:id="4" w:name="_Toc1156"/>
      <w:r>
        <w:rPr>
          <w:rFonts w:hint="eastAsia"/>
          <w:sz w:val="32"/>
          <w:szCs w:val="32"/>
        </w:rPr>
        <w:t>企业概况</w:t>
      </w:r>
      <w:bookmarkEnd w:id="4"/>
    </w:p>
    <w:p>
      <w:pPr>
        <w:pStyle w:val="3"/>
        <w:numPr>
          <w:ilvl w:val="0"/>
          <w:numId w:val="0"/>
        </w:numPr>
        <w:spacing w:before="0" w:after="0" w:line="360" w:lineRule="auto"/>
        <w:rPr>
          <w:rFonts w:hint="eastAsia" w:ascii="宋体" w:hAnsi="宋体"/>
          <w:b w:val="0"/>
          <w:color w:val="000000"/>
          <w:szCs w:val="24"/>
        </w:rPr>
      </w:pPr>
      <w:bookmarkStart w:id="5" w:name="_Toc7546"/>
      <w:r>
        <w:rPr>
          <w:rFonts w:hint="eastAsia" w:ascii="宋体" w:hAnsi="宋体"/>
        </w:rPr>
        <w:t>1.1公司简介</w:t>
      </w:r>
      <w:bookmarkEnd w:id="5"/>
    </w:p>
    <w:p>
      <w:pPr>
        <w:spacing w:line="360" w:lineRule="auto"/>
        <w:ind w:firstLine="480" w:firstLineChars="200"/>
        <w:jc w:val="left"/>
        <w:rPr>
          <w:rFonts w:hint="eastAsia" w:ascii="宋体" w:hAnsi="宋体"/>
          <w:color w:val="000000"/>
          <w:sz w:val="24"/>
        </w:rPr>
      </w:pPr>
      <w:r>
        <w:rPr>
          <w:rFonts w:hint="eastAsia" w:ascii="宋体" w:hAnsi="宋体"/>
          <w:color w:val="000000"/>
          <w:sz w:val="24"/>
        </w:rPr>
        <w:t>浙江伟博包装印刷品有限公司创建于1995年5月，是一家专业生产烟标印刷的中外合资企业，地理位置优越，交通便利，总投资2148万美元，注册资金1074万美元，公司座落在全国四大避暑胜地之一的莫干山南麓——浙江德清县莫干山经济开发区内，是浙江省高新技术企业和省信用管理示范单位。</w:t>
      </w:r>
    </w:p>
    <w:p>
      <w:pPr>
        <w:spacing w:line="360" w:lineRule="auto"/>
        <w:ind w:firstLine="480" w:firstLineChars="200"/>
        <w:jc w:val="left"/>
        <w:rPr>
          <w:rFonts w:hint="eastAsia" w:ascii="宋体" w:hAnsi="宋体"/>
          <w:color w:val="000000"/>
          <w:sz w:val="24"/>
        </w:rPr>
      </w:pPr>
      <w:r>
        <w:rPr>
          <w:rFonts w:hint="eastAsia" w:ascii="宋体" w:hAnsi="宋体"/>
          <w:color w:val="000000"/>
          <w:sz w:val="24"/>
        </w:rPr>
        <w:t>公司现有员工230人。是烟标生产的定点厂家，先后从国外引进了意大利ROTOSTAR七色凹印生产线、意大利CERUTTI八色凹印,海德堡CE/MT102-6+1胶印生产线及丝印生产线等代表国际先进水平的生产线，公司重视管理，充分运用先进的管理工具和手段，为实现公司的品质追求，不断完善公司的内部管理，形成完善的管理体系，公司全面推行ISO 9001质量管理、ISO 14001环境管理与ISO 45001职业健康安全管理“三标一体”管理体系。使伟博包装具备成为了“一流人才、一流设施、一流管理”的现代化环保包装印刷企业，公司专业从事各类中高档烟标、酒盒奶盒、药品、日化用品纸盒等设计开发与印刷加工业务，主要产品为卷烟包装盒。公司具有国际国内一流的制造和检测设备，主要设备有德国海德堡9+1、7+1胶印机，意大利赛鲁迪凹印机和博斯特烫金机等50余台套。</w:t>
      </w:r>
    </w:p>
    <w:p>
      <w:pPr>
        <w:spacing w:line="360" w:lineRule="auto"/>
        <w:ind w:firstLine="480" w:firstLineChars="200"/>
        <w:jc w:val="left"/>
        <w:rPr>
          <w:rFonts w:hint="eastAsia" w:ascii="宋体" w:hAnsi="宋体"/>
          <w:color w:val="000000"/>
          <w:sz w:val="24"/>
        </w:rPr>
      </w:pPr>
      <w:r>
        <w:rPr>
          <w:rFonts w:hint="eastAsia" w:ascii="宋体" w:hAnsi="宋体"/>
          <w:color w:val="000000"/>
          <w:sz w:val="24"/>
        </w:rPr>
        <w:t>公司被评为浙江省高新技术企业、AAA级守合同重信用公示企业、省级企业研究院、湖州市四星级绿色工厂、浙江省清洁生产企业、湖州市印刷行业协会副会长单位、安全生产管理奖、经济发展进步奖等。经过多年的努力，公司已开启了信息化ERP管理新模式，三个体系持续改进，相互推动，质量流程管控日益精进，精细化管理已成为公司可持续发展的重要支撑。目前，公司主要客户有浙江中烟、云南红塔集团和红云红河等。</w:t>
      </w:r>
    </w:p>
    <w:p>
      <w:pPr>
        <w:pStyle w:val="46"/>
        <w:spacing w:line="360" w:lineRule="auto"/>
        <w:jc w:val="center"/>
        <w:rPr>
          <w:rFonts w:hint="eastAsia" w:ascii="宋体" w:hAnsi="宋体"/>
          <w:b/>
          <w:color w:val="000000"/>
          <w:sz w:val="24"/>
          <w:szCs w:val="24"/>
        </w:rPr>
      </w:pPr>
      <w:r>
        <w:rPr>
          <w:rFonts w:hint="eastAsia" w:ascii="宋体" w:hAnsi="宋体"/>
          <w:color w:val="000000"/>
          <w:sz w:val="24"/>
        </w:rPr>
        <w:t>公司秉承“一切为了客户”、“为客户创造增值服务”的理念，全力打造烟标印刷的知名品牌企业，与客户共成长，把握时代脉搏，以目标为导向，公司在董事陈政豪总经理的带领下，只争朝夕，奋发有为，正奋进在公司做优做强的征程中。</w:t>
      </w:r>
      <w:r>
        <w:rPr>
          <w:rFonts w:hint="eastAsia" w:ascii="宋体" w:hAnsi="宋体"/>
          <w:b/>
          <w:sz w:val="24"/>
        </w:rPr>
        <w:br w:type="page"/>
      </w:r>
    </w:p>
    <w:p>
      <w:pPr>
        <w:pStyle w:val="46"/>
        <w:spacing w:line="360" w:lineRule="auto"/>
        <w:jc w:val="center"/>
        <w:rPr>
          <w:rFonts w:hint="eastAsia" w:ascii="宋体" w:hAnsi="宋体"/>
          <w:b/>
          <w:color w:val="000000"/>
          <w:sz w:val="24"/>
          <w:szCs w:val="24"/>
        </w:rPr>
      </w:pPr>
    </w:p>
    <w:p>
      <w:pPr>
        <w:pStyle w:val="3"/>
        <w:numPr>
          <w:ilvl w:val="0"/>
          <w:numId w:val="0"/>
        </w:numPr>
        <w:spacing w:before="0" w:after="0" w:line="360" w:lineRule="auto"/>
        <w:rPr>
          <w:rFonts w:hint="eastAsia" w:ascii="宋体" w:hAnsi="宋体"/>
        </w:rPr>
      </w:pPr>
      <w:bookmarkStart w:id="6" w:name="_Toc13842"/>
      <w:r>
        <w:rPr>
          <w:rFonts w:hint="eastAsia" w:ascii="宋体" w:hAnsi="宋体"/>
        </w:rPr>
        <w:t>1.2 企业文化</w:t>
      </w:r>
      <w:bookmarkEnd w:id="6"/>
    </w:p>
    <w:p>
      <w:pPr>
        <w:pStyle w:val="3"/>
        <w:numPr>
          <w:ilvl w:val="0"/>
          <w:numId w:val="0"/>
        </w:numPr>
        <w:spacing w:before="0" w:after="0" w:line="360" w:lineRule="auto"/>
        <w:rPr>
          <w:rFonts w:hint="eastAsia" w:ascii="宋体" w:hAnsi="宋体"/>
        </w:rPr>
      </w:pPr>
      <w:r>
        <w:rPr>
          <w:rFonts w:hint="eastAsia" w:ascii="宋体" w:hAnsi="宋体"/>
          <w:b w:val="0"/>
          <w:bCs w:val="0"/>
        </w:rPr>
        <w:t>公司管理层十分重视企业文化建设，提出了公司的价值观和愿景；</w:t>
      </w:r>
    </w:p>
    <w:p>
      <w:pPr>
        <w:pStyle w:val="3"/>
        <w:numPr>
          <w:ilvl w:val="0"/>
          <w:numId w:val="0"/>
        </w:numPr>
        <w:spacing w:before="0" w:after="0" w:line="360" w:lineRule="auto"/>
        <w:rPr>
          <w:rFonts w:hint="eastAsia" w:ascii="宋体" w:hAnsi="宋体"/>
        </w:rPr>
      </w:pPr>
      <w:r>
        <w:rPr>
          <w:rFonts w:hint="eastAsia" w:ascii="宋体" w:hAnsi="宋体"/>
          <w:sz w:val="28"/>
          <w:szCs w:val="28"/>
        </w:rPr>
        <w:t>◆ 企业使命、愿景、价值观及其内涵</w:t>
      </w:r>
      <w:r>
        <w:rPr>
          <w:rFonts w:hint="eastAsia" w:ascii="宋体" w:hAnsi="宋体"/>
        </w:rPr>
        <w:t xml:space="preserve"> </w:t>
      </w:r>
    </w:p>
    <w:p>
      <w:pPr>
        <w:pStyle w:val="3"/>
        <w:numPr>
          <w:ilvl w:val="0"/>
          <w:numId w:val="0"/>
        </w:numPr>
        <w:spacing w:before="0" w:after="0" w:line="360" w:lineRule="auto"/>
        <w:rPr>
          <w:rFonts w:hint="eastAsia" w:ascii="宋体" w:hAnsi="宋体"/>
        </w:rPr>
      </w:pPr>
      <w:r>
        <w:rPr>
          <w:rFonts w:hint="eastAsia" w:ascii="宋体" w:hAnsi="宋体"/>
          <w:b w:val="0"/>
          <w:bCs w:val="0"/>
        </w:rPr>
        <w:t>公司使命</w:t>
      </w:r>
    </w:p>
    <w:p>
      <w:pPr>
        <w:pStyle w:val="3"/>
        <w:numPr>
          <w:ilvl w:val="0"/>
          <w:numId w:val="0"/>
        </w:numPr>
        <w:spacing w:before="0" w:after="0" w:line="360" w:lineRule="auto"/>
        <w:rPr>
          <w:rFonts w:hint="eastAsia" w:ascii="宋体" w:hAnsi="宋体"/>
        </w:rPr>
      </w:pPr>
      <w:r>
        <w:rPr>
          <w:rFonts w:hint="eastAsia" w:ascii="宋体" w:hAnsi="宋体"/>
          <w:color w:val="000000"/>
          <w:sz w:val="24"/>
        </w:rPr>
        <w:t>“一切为了客户”、“为客户创造增值服务”</w:t>
      </w:r>
      <w:r>
        <w:rPr>
          <w:rFonts w:hint="eastAsia" w:ascii="宋体" w:hAnsi="宋体"/>
          <w:color w:val="000000"/>
          <w:sz w:val="24"/>
          <w:lang w:eastAsia="zh-CN"/>
        </w:rPr>
        <w:t>的理念</w:t>
      </w:r>
      <w:r>
        <w:rPr>
          <w:rFonts w:hint="eastAsia" w:ascii="宋体" w:hAnsi="宋体"/>
        </w:rPr>
        <w:t xml:space="preserve"> </w:t>
      </w:r>
    </w:p>
    <w:p>
      <w:pPr>
        <w:pStyle w:val="3"/>
        <w:numPr>
          <w:ilvl w:val="0"/>
          <w:numId w:val="0"/>
        </w:numPr>
        <w:spacing w:before="0" w:after="0" w:line="360" w:lineRule="auto"/>
        <w:rPr>
          <w:rFonts w:hint="eastAsia" w:ascii="宋体" w:hAnsi="宋体"/>
        </w:rPr>
      </w:pPr>
      <w:r>
        <w:rPr>
          <w:rFonts w:hint="eastAsia" w:ascii="宋体" w:hAnsi="宋体"/>
          <w:b w:val="0"/>
          <w:bCs w:val="0"/>
        </w:rPr>
        <w:t>公司愿景</w:t>
      </w:r>
    </w:p>
    <w:p>
      <w:pPr>
        <w:pStyle w:val="3"/>
        <w:numPr>
          <w:ilvl w:val="0"/>
          <w:numId w:val="0"/>
        </w:numPr>
        <w:spacing w:before="0" w:after="0" w:line="360" w:lineRule="auto"/>
        <w:rPr>
          <w:rFonts w:hint="eastAsia" w:ascii="宋体" w:hAnsi="宋体"/>
        </w:rPr>
      </w:pPr>
      <w:r>
        <w:rPr>
          <w:rFonts w:hint="eastAsia" w:ascii="宋体" w:hAnsi="宋体"/>
          <w:lang w:eastAsia="zh-CN"/>
        </w:rPr>
        <w:t>成为华东地区第一印刷包装品牌的现代化先进企业</w:t>
      </w:r>
      <w:r>
        <w:rPr>
          <w:rFonts w:hint="eastAsia" w:ascii="宋体" w:hAnsi="宋体"/>
        </w:rPr>
        <w:t>。</w:t>
      </w:r>
    </w:p>
    <w:p>
      <w:pPr>
        <w:pStyle w:val="3"/>
        <w:numPr>
          <w:ilvl w:val="0"/>
          <w:numId w:val="0"/>
        </w:numPr>
        <w:spacing w:before="0" w:after="0" w:line="360" w:lineRule="auto"/>
        <w:rPr>
          <w:rFonts w:hint="eastAsia" w:ascii="宋体" w:hAnsi="宋体"/>
          <w:b w:val="0"/>
          <w:bCs w:val="0"/>
        </w:rPr>
      </w:pPr>
      <w:r>
        <w:rPr>
          <w:rFonts w:hint="eastAsia" w:ascii="宋体" w:hAnsi="宋体"/>
          <w:b w:val="0"/>
          <w:bCs w:val="0"/>
        </w:rPr>
        <w:t>核心价值观</w:t>
      </w:r>
    </w:p>
    <w:p>
      <w:pPr>
        <w:pStyle w:val="3"/>
        <w:numPr>
          <w:ilvl w:val="0"/>
          <w:numId w:val="0"/>
        </w:numPr>
        <w:spacing w:before="0" w:after="0" w:line="360" w:lineRule="auto"/>
        <w:rPr>
          <w:rFonts w:hint="eastAsia" w:ascii="宋体" w:hAnsi="宋体"/>
        </w:rPr>
      </w:pPr>
      <w:r>
        <w:rPr>
          <w:rFonts w:hint="eastAsia" w:ascii="宋体" w:hAnsi="宋体"/>
          <w:lang w:eastAsia="zh-CN"/>
        </w:rPr>
        <w:t>探索</w:t>
      </w:r>
      <w:r>
        <w:rPr>
          <w:rFonts w:hint="eastAsia" w:ascii="宋体" w:hAnsi="宋体"/>
        </w:rPr>
        <w:t>、创新、</w:t>
      </w:r>
      <w:r>
        <w:rPr>
          <w:rFonts w:hint="eastAsia" w:ascii="宋体" w:hAnsi="宋体"/>
          <w:lang w:eastAsia="zh-CN"/>
        </w:rPr>
        <w:t>新颖、</w:t>
      </w:r>
      <w:r>
        <w:rPr>
          <w:rFonts w:hint="eastAsia" w:ascii="宋体" w:hAnsi="宋体"/>
        </w:rPr>
        <w:t>诚信、共赢。</w:t>
      </w:r>
    </w:p>
    <w:p>
      <w:pPr>
        <w:pStyle w:val="3"/>
        <w:numPr>
          <w:ilvl w:val="0"/>
          <w:numId w:val="0"/>
        </w:numPr>
        <w:spacing w:before="0" w:after="0" w:line="360" w:lineRule="auto"/>
        <w:rPr>
          <w:rFonts w:hint="eastAsia" w:ascii="宋体" w:hAnsi="宋体"/>
        </w:rPr>
      </w:pPr>
      <w:r>
        <w:rPr>
          <w:rFonts w:hint="eastAsia" w:ascii="宋体" w:hAnsi="宋体"/>
          <w:b w:val="0"/>
          <w:bCs w:val="0"/>
        </w:rPr>
        <w:t>管理方针</w:t>
      </w:r>
    </w:p>
    <w:p>
      <w:pPr>
        <w:pStyle w:val="3"/>
        <w:numPr>
          <w:ilvl w:val="0"/>
          <w:numId w:val="0"/>
        </w:numPr>
        <w:spacing w:before="0" w:after="0" w:line="360" w:lineRule="auto"/>
        <w:rPr>
          <w:rFonts w:hint="eastAsia" w:ascii="宋体" w:hAnsi="宋体"/>
        </w:rPr>
      </w:pPr>
      <w:r>
        <w:rPr>
          <w:rFonts w:hint="eastAsia" w:ascii="宋体" w:hAnsi="宋体"/>
        </w:rPr>
        <w:t>——质量方针：</w:t>
      </w:r>
      <w:r>
        <w:rPr>
          <w:rFonts w:hint="eastAsia"/>
          <w:b/>
          <w:sz w:val="24"/>
        </w:rPr>
        <w:t>以顾客满意为中心，精益印刷保质量</w:t>
      </w:r>
      <w:r>
        <w:rPr>
          <w:rFonts w:hint="eastAsia" w:ascii="宋体" w:hAnsi="宋体"/>
        </w:rPr>
        <w:t>。</w:t>
      </w:r>
    </w:p>
    <w:p>
      <w:pPr>
        <w:pStyle w:val="3"/>
        <w:numPr>
          <w:ilvl w:val="0"/>
          <w:numId w:val="0"/>
        </w:numPr>
        <w:spacing w:before="0" w:after="0" w:line="360" w:lineRule="auto"/>
        <w:rPr>
          <w:rFonts w:hint="eastAsia" w:ascii="宋体" w:hAnsi="宋体"/>
        </w:rPr>
      </w:pPr>
      <w:r>
        <w:rPr>
          <w:rFonts w:hint="eastAsia" w:ascii="宋体" w:hAnsi="宋体"/>
        </w:rPr>
        <w:t>——环境方针：</w:t>
      </w:r>
      <w:r>
        <w:rPr>
          <w:rFonts w:hint="eastAsia"/>
          <w:b/>
          <w:sz w:val="24"/>
        </w:rPr>
        <w:t>以污染防治为重点，环保创新要先行</w:t>
      </w:r>
      <w:r>
        <w:rPr>
          <w:rFonts w:hint="eastAsia" w:ascii="宋体" w:hAnsi="宋体"/>
        </w:rPr>
        <w:t>。</w:t>
      </w:r>
    </w:p>
    <w:p>
      <w:pPr>
        <w:pStyle w:val="3"/>
        <w:numPr>
          <w:ilvl w:val="0"/>
          <w:numId w:val="0"/>
        </w:numPr>
        <w:spacing w:before="0" w:after="0" w:line="360" w:lineRule="auto"/>
        <w:rPr>
          <w:rFonts w:hint="eastAsia" w:ascii="宋体" w:hAnsi="宋体"/>
        </w:rPr>
      </w:pPr>
      <w:r>
        <w:rPr>
          <w:rFonts w:hint="eastAsia" w:ascii="宋体" w:hAnsi="宋体"/>
        </w:rPr>
        <w:t>——职业健康安全方针：</w:t>
      </w:r>
      <w:r>
        <w:rPr>
          <w:rFonts w:hint="eastAsia"/>
          <w:b/>
          <w:sz w:val="24"/>
        </w:rPr>
        <w:t>以关爱生命为宗旨，员工生产保安全</w:t>
      </w:r>
      <w:r>
        <w:rPr>
          <w:rFonts w:hint="eastAsia" w:ascii="宋体" w:hAnsi="宋体"/>
        </w:rPr>
        <w:t>。</w:t>
      </w:r>
    </w:p>
    <w:p>
      <w:pPr>
        <w:pStyle w:val="3"/>
        <w:numPr>
          <w:ilvl w:val="0"/>
          <w:numId w:val="0"/>
        </w:numPr>
        <w:spacing w:before="0" w:after="0" w:line="360" w:lineRule="auto"/>
        <w:rPr>
          <w:rFonts w:hint="eastAsia" w:ascii="宋体" w:hAnsi="宋体"/>
        </w:rPr>
      </w:pPr>
      <w:r>
        <w:rPr>
          <w:rFonts w:hint="eastAsia" w:ascii="宋体" w:hAnsi="宋体"/>
        </w:rPr>
        <w:t>——诚信方针：</w:t>
      </w:r>
      <w:r>
        <w:rPr>
          <w:rFonts w:hint="eastAsia" w:ascii="宋体" w:hAnsi="宋体"/>
          <w:lang w:eastAsia="zh-CN"/>
        </w:rPr>
        <w:t>客户</w:t>
      </w:r>
      <w:r>
        <w:rPr>
          <w:rFonts w:hint="eastAsia" w:ascii="宋体" w:hAnsi="宋体"/>
        </w:rPr>
        <w:t>至上，品质为本</w:t>
      </w:r>
      <w:r>
        <w:rPr>
          <w:rFonts w:hint="eastAsia" w:ascii="宋体" w:hAnsi="宋体"/>
        </w:rPr>
        <w:br w:type="page"/>
      </w:r>
      <w:bookmarkStart w:id="7" w:name="_Toc7741"/>
      <w:r>
        <w:rPr>
          <w:rFonts w:hint="eastAsia" w:ascii="宋体" w:hAnsi="宋体"/>
        </w:rPr>
        <w:t>1.</w:t>
      </w:r>
      <w:r>
        <w:rPr>
          <w:rFonts w:hint="eastAsia" w:ascii="宋体" w:hAnsi="宋体"/>
          <w:lang w:val="en-US" w:eastAsia="zh-CN"/>
        </w:rPr>
        <w:t>3</w:t>
      </w:r>
      <w:r>
        <w:rPr>
          <w:rFonts w:hint="eastAsia" w:ascii="宋体" w:hAnsi="宋体"/>
        </w:rPr>
        <w:t xml:space="preserve"> 社会</w:t>
      </w:r>
      <w:r>
        <w:rPr>
          <w:rFonts w:ascii="宋体" w:hAnsi="宋体"/>
        </w:rPr>
        <w:t>责任</w:t>
      </w:r>
      <w:r>
        <w:rPr>
          <w:rFonts w:hint="eastAsia" w:ascii="宋体" w:hAnsi="宋体"/>
        </w:rPr>
        <w:t>战略</w:t>
      </w:r>
      <w:bookmarkEnd w:id="7"/>
    </w:p>
    <w:p>
      <w:pPr>
        <w:pStyle w:val="15"/>
        <w:spacing w:before="0" w:beforeAutospacing="0" w:after="0" w:afterAutospacing="0" w:line="360" w:lineRule="auto"/>
        <w:ind w:firstLine="480" w:firstLineChars="200"/>
        <w:rPr>
          <w:rFonts w:cs="Times New Roman"/>
          <w:bCs/>
          <w:kern w:val="2"/>
        </w:rPr>
      </w:pPr>
      <w:r>
        <w:rPr>
          <w:rFonts w:hint="eastAsia" w:cs="Times New Roman"/>
          <w:bCs/>
          <w:kern w:val="2"/>
        </w:rPr>
        <w:t>随着</w:t>
      </w:r>
      <w:r>
        <w:rPr>
          <w:rFonts w:hint="eastAsia" w:cs="Times New Roman"/>
          <w:bCs/>
          <w:kern w:val="2"/>
          <w:lang w:eastAsia="zh-CN"/>
        </w:rPr>
        <w:t>国际</w:t>
      </w:r>
      <w:r>
        <w:rPr>
          <w:rFonts w:hint="eastAsia" w:cs="Times New Roman"/>
          <w:bCs/>
          <w:kern w:val="2"/>
        </w:rPr>
        <w:t>经济的不断发展</w:t>
      </w:r>
      <w:r>
        <w:rPr>
          <w:rFonts w:hint="eastAsia" w:cs="Times New Roman"/>
          <w:bCs/>
          <w:kern w:val="2"/>
          <w:lang w:eastAsia="zh-CN"/>
        </w:rPr>
        <w:t>变化</w:t>
      </w:r>
      <w:r>
        <w:rPr>
          <w:rFonts w:hint="eastAsia" w:cs="Times New Roman"/>
          <w:bCs/>
          <w:kern w:val="2"/>
        </w:rPr>
        <w:t>，可持续发展的理念已经成为许多国际型企业发展战略的核心。支持社会公益事业，倡导社会环境的可持续发展，做负责任的企业公民，已成为企业公共关系的重要主题。在企业发展的过程中，为保证企业社会责任的有效落实，</w:t>
      </w:r>
      <w:r>
        <w:rPr>
          <w:rFonts w:cs="Times New Roman"/>
          <w:bCs/>
          <w:kern w:val="2"/>
        </w:rPr>
        <w:t>公司</w:t>
      </w:r>
      <w:r>
        <w:rPr>
          <w:rFonts w:hint="eastAsia" w:cs="Times New Roman"/>
          <w:bCs/>
          <w:kern w:val="2"/>
        </w:rPr>
        <w:t>由董事长为首的高层领导负责制定战略目标和规划，管理和协调公司的社会责任和可持续发展方面的工作，以此确保企业运营能够为社会、环境及利益相关方带来积极的影响，进而促进企业和整个社会的可持续发展</w:t>
      </w:r>
      <w:r>
        <w:rPr>
          <w:rFonts w:hint="eastAsia" w:cs="Times New Roman"/>
          <w:bCs/>
          <w:kern w:val="2"/>
          <w:lang w:eastAsia="zh-CN"/>
        </w:rPr>
        <w:t>。</w:t>
      </w:r>
    </w:p>
    <w:p>
      <w:pPr>
        <w:pStyle w:val="3"/>
        <w:numPr>
          <w:ilvl w:val="0"/>
          <w:numId w:val="0"/>
        </w:numPr>
        <w:spacing w:before="0" w:after="0" w:line="360" w:lineRule="auto"/>
        <w:rPr>
          <w:rFonts w:hint="eastAsia" w:ascii="宋体" w:hAnsi="宋体"/>
        </w:rPr>
      </w:pPr>
      <w:bookmarkStart w:id="8" w:name="_Toc31094"/>
      <w:r>
        <w:rPr>
          <w:rFonts w:hint="eastAsia" w:ascii="宋体" w:hAnsi="宋体"/>
        </w:rPr>
        <w:t>1.</w:t>
      </w:r>
      <w:r>
        <w:rPr>
          <w:rFonts w:hint="eastAsia" w:ascii="宋体" w:hAnsi="宋体"/>
          <w:lang w:val="en-US" w:eastAsia="zh-CN"/>
        </w:rPr>
        <w:t>4</w:t>
      </w:r>
      <w:r>
        <w:rPr>
          <w:rFonts w:hint="eastAsia" w:ascii="宋体" w:hAnsi="宋体"/>
        </w:rPr>
        <w:t xml:space="preserve"> 利益</w:t>
      </w:r>
      <w:r>
        <w:rPr>
          <w:rFonts w:ascii="宋体" w:hAnsi="宋体"/>
        </w:rPr>
        <w:t>相关方识别和沟通</w:t>
      </w:r>
      <w:bookmarkEnd w:id="8"/>
    </w:p>
    <w:p>
      <w:pPr>
        <w:spacing w:line="360" w:lineRule="auto"/>
        <w:ind w:firstLine="480" w:firstLineChars="200"/>
        <w:rPr>
          <w:rFonts w:ascii="宋体" w:hAnsi="宋体"/>
          <w:kern w:val="0"/>
          <w:sz w:val="24"/>
        </w:rPr>
      </w:pPr>
      <w:r>
        <w:rPr>
          <w:rFonts w:hint="eastAsia" w:ascii="宋体" w:hAnsi="宋体"/>
          <w:kern w:val="0"/>
          <w:sz w:val="24"/>
        </w:rPr>
        <w:t>利益相关方沟通是企业社会责任管理的重要部分。公司</w:t>
      </w:r>
      <w:r>
        <w:rPr>
          <w:rFonts w:ascii="宋体" w:hAnsi="宋体"/>
          <w:kern w:val="0"/>
          <w:sz w:val="24"/>
        </w:rPr>
        <w:t>高层领导全方位、多角度地向</w:t>
      </w:r>
      <w:r>
        <w:rPr>
          <w:rFonts w:hint="eastAsia" w:ascii="宋体" w:hAnsi="宋体"/>
          <w:kern w:val="0"/>
          <w:sz w:val="24"/>
          <w:lang w:eastAsia="zh-CN"/>
        </w:rPr>
        <w:t>股东、</w:t>
      </w:r>
      <w:r>
        <w:rPr>
          <w:rFonts w:ascii="宋体" w:hAnsi="宋体"/>
          <w:kern w:val="0"/>
          <w:sz w:val="24"/>
        </w:rPr>
        <w:t>员工、顾客、供应商、政府及社会组织进行双向沟通，促进企业文化不断繁荣和发展。</w:t>
      </w:r>
      <w:r>
        <w:rPr>
          <w:rFonts w:hint="eastAsia" w:ascii="宋体" w:hAnsi="宋体"/>
          <w:kern w:val="0"/>
          <w:sz w:val="24"/>
        </w:rPr>
        <w:t>我们通过多种渠道和方式实现不同部门、不同职位、不同地区间的有效沟通，</w:t>
      </w:r>
      <w:r>
        <w:rPr>
          <w:rFonts w:ascii="宋体" w:hAnsi="宋体"/>
          <w:kern w:val="0"/>
          <w:sz w:val="24"/>
        </w:rPr>
        <w:t>了解</w:t>
      </w:r>
      <w:r>
        <w:rPr>
          <w:rFonts w:hint="eastAsia" w:ascii="宋体" w:hAnsi="宋体"/>
          <w:kern w:val="0"/>
          <w:sz w:val="24"/>
        </w:rPr>
        <w:t>各方诉求和建议，履行各类责任。</w:t>
      </w:r>
    </w:p>
    <w:p>
      <w:pPr>
        <w:adjustRightInd w:val="0"/>
        <w:snapToGrid w:val="0"/>
        <w:spacing w:line="360" w:lineRule="auto"/>
        <w:ind w:right="325" w:rightChars="155"/>
        <w:jc w:val="center"/>
        <w:rPr>
          <w:rFonts w:hint="eastAsia" w:ascii="宋体" w:hAnsi="宋体"/>
          <w:b/>
          <w:color w:val="000000"/>
          <w:sz w:val="24"/>
        </w:rPr>
      </w:pPr>
    </w:p>
    <w:p>
      <w:pPr>
        <w:adjustRightInd w:val="0"/>
        <w:snapToGrid w:val="0"/>
        <w:spacing w:line="360" w:lineRule="auto"/>
        <w:ind w:right="325" w:rightChars="155"/>
        <w:jc w:val="center"/>
        <w:outlineLvl w:val="1"/>
        <w:rPr>
          <w:rFonts w:ascii="宋体" w:hAnsi="宋体"/>
          <w:b/>
          <w:sz w:val="22"/>
          <w:szCs w:val="21"/>
        </w:rPr>
      </w:pPr>
      <w:bookmarkStart w:id="9" w:name="_Toc2023"/>
      <w:r>
        <w:rPr>
          <w:rFonts w:hint="eastAsia" w:ascii="宋体" w:hAnsi="宋体"/>
          <w:b/>
          <w:color w:val="000000"/>
          <w:sz w:val="24"/>
        </w:rPr>
        <w:t xml:space="preserve">图表-2 </w:t>
      </w:r>
      <w:r>
        <w:rPr>
          <w:rFonts w:ascii="宋体" w:hAnsi="宋体"/>
          <w:b/>
          <w:sz w:val="22"/>
          <w:szCs w:val="21"/>
        </w:rPr>
        <w:t>多渠道与相关方沟通</w:t>
      </w:r>
      <w:bookmarkEnd w:id="9"/>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42" w:type="dxa"/>
            <w:shd w:val="clear" w:color="auto" w:fill="FDE9D9"/>
            <w:noWrap w:val="0"/>
            <w:vAlign w:val="center"/>
          </w:tcPr>
          <w:p>
            <w:pPr>
              <w:adjustRightInd w:val="0"/>
              <w:snapToGrid w:val="0"/>
              <w:spacing w:line="300" w:lineRule="auto"/>
              <w:jc w:val="center"/>
              <w:rPr>
                <w:b/>
                <w:szCs w:val="22"/>
              </w:rPr>
            </w:pPr>
            <w:r>
              <w:rPr>
                <w:b/>
                <w:szCs w:val="22"/>
              </w:rPr>
              <w:t>对象</w:t>
            </w:r>
          </w:p>
        </w:tc>
        <w:tc>
          <w:tcPr>
            <w:tcW w:w="7230" w:type="dxa"/>
            <w:shd w:val="clear" w:color="auto" w:fill="FDE9D9"/>
            <w:noWrap w:val="0"/>
            <w:vAlign w:val="center"/>
          </w:tcPr>
          <w:p>
            <w:pPr>
              <w:adjustRightInd w:val="0"/>
              <w:snapToGrid w:val="0"/>
              <w:spacing w:line="300" w:lineRule="auto"/>
              <w:jc w:val="center"/>
              <w:rPr>
                <w:b/>
                <w:szCs w:val="22"/>
              </w:rPr>
            </w:pPr>
            <w:r>
              <w:rPr>
                <w:b/>
                <w:szCs w:val="22"/>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noWrap w:val="0"/>
            <w:vAlign w:val="center"/>
          </w:tcPr>
          <w:p>
            <w:pPr>
              <w:adjustRightInd w:val="0"/>
              <w:snapToGrid w:val="0"/>
              <w:spacing w:line="300" w:lineRule="auto"/>
              <w:jc w:val="center"/>
              <w:rPr>
                <w:b/>
                <w:szCs w:val="22"/>
              </w:rPr>
            </w:pPr>
            <w:r>
              <w:rPr>
                <w:b/>
                <w:szCs w:val="22"/>
              </w:rPr>
              <w:t>员工</w:t>
            </w:r>
          </w:p>
        </w:tc>
        <w:tc>
          <w:tcPr>
            <w:tcW w:w="7230" w:type="dxa"/>
            <w:noWrap w:val="0"/>
            <w:vAlign w:val="center"/>
          </w:tcPr>
          <w:p>
            <w:pPr>
              <w:keepNext w:val="0"/>
              <w:keepLines w:val="0"/>
              <w:widowControl/>
              <w:suppressLineNumbers w:val="0"/>
              <w:jc w:val="left"/>
              <w:rPr>
                <w:rFonts w:hint="eastAsia" w:eastAsia="宋体"/>
                <w:szCs w:val="22"/>
                <w:lang w:eastAsia="zh-CN"/>
              </w:rPr>
            </w:pPr>
            <w:r>
              <w:rPr>
                <w:szCs w:val="22"/>
              </w:rPr>
              <w:t>《员工手册》、</w:t>
            </w:r>
            <w:r>
              <w:rPr>
                <w:rFonts w:hint="eastAsia"/>
                <w:szCs w:val="22"/>
                <w:lang w:eastAsia="zh-CN"/>
              </w:rPr>
              <w:t>公司</w:t>
            </w:r>
            <w:r>
              <w:rPr>
                <w:szCs w:val="22"/>
              </w:rPr>
              <w:t>网站、宣传册、目视化看板、宣传标识、宣传栏、产品展厅</w:t>
            </w:r>
            <w:r>
              <w:rPr>
                <w:rFonts w:hint="eastAsia"/>
                <w:szCs w:val="22"/>
                <w:lang w:eastAsia="zh-CN"/>
              </w:rPr>
              <w:t>、</w:t>
            </w:r>
            <w:r>
              <w:rPr>
                <w:rFonts w:hint="eastAsia" w:ascii="宋体" w:hAnsi="宋体" w:eastAsia="宋体" w:cs="宋体"/>
                <w:color w:val="000000"/>
                <w:kern w:val="0"/>
                <w:sz w:val="21"/>
                <w:szCs w:val="21"/>
                <w:lang w:val="en-US" w:eastAsia="zh-CN" w:bidi="ar"/>
              </w:rPr>
              <w:t>企业宣传片等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noWrap w:val="0"/>
            <w:vAlign w:val="center"/>
          </w:tcPr>
          <w:p>
            <w:pPr>
              <w:adjustRightInd w:val="0"/>
              <w:snapToGrid w:val="0"/>
              <w:spacing w:line="300" w:lineRule="auto"/>
              <w:jc w:val="center"/>
              <w:rPr>
                <w:b/>
                <w:szCs w:val="22"/>
              </w:rPr>
            </w:pPr>
          </w:p>
        </w:tc>
        <w:tc>
          <w:tcPr>
            <w:tcW w:w="7230" w:type="dxa"/>
            <w:noWrap w:val="0"/>
            <w:vAlign w:val="center"/>
          </w:tcPr>
          <w:p>
            <w:pPr>
              <w:adjustRightInd w:val="0"/>
              <w:snapToGrid w:val="0"/>
              <w:spacing w:line="300" w:lineRule="auto"/>
              <w:rPr>
                <w:szCs w:val="22"/>
              </w:rPr>
            </w:pPr>
            <w:r>
              <w:rPr>
                <w:szCs w:val="22"/>
              </w:rPr>
              <w:t>师带徒、弟子规培训、论语培训、企业文化培训、新员工培训等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noWrap w:val="0"/>
            <w:vAlign w:val="center"/>
          </w:tcPr>
          <w:p>
            <w:pPr>
              <w:adjustRightInd w:val="0"/>
              <w:snapToGrid w:val="0"/>
              <w:spacing w:line="300" w:lineRule="auto"/>
              <w:jc w:val="center"/>
              <w:rPr>
                <w:b/>
                <w:szCs w:val="22"/>
              </w:rPr>
            </w:pPr>
          </w:p>
        </w:tc>
        <w:tc>
          <w:tcPr>
            <w:tcW w:w="7230" w:type="dxa"/>
            <w:noWrap w:val="0"/>
            <w:vAlign w:val="center"/>
          </w:tcPr>
          <w:p>
            <w:pPr>
              <w:keepNext w:val="0"/>
              <w:keepLines w:val="0"/>
              <w:widowControl/>
              <w:suppressLineNumbers w:val="0"/>
              <w:jc w:val="left"/>
              <w:rPr>
                <w:szCs w:val="22"/>
              </w:rPr>
            </w:pPr>
            <w:r>
              <w:rPr>
                <w:szCs w:val="22"/>
              </w:rPr>
              <w:t>年终总结大会、</w:t>
            </w:r>
            <w:r>
              <w:rPr>
                <w:rFonts w:hint="eastAsia" w:ascii="宋体" w:hAnsi="宋体" w:eastAsia="宋体" w:cs="宋体"/>
                <w:color w:val="000000"/>
                <w:kern w:val="0"/>
                <w:sz w:val="21"/>
                <w:szCs w:val="21"/>
                <w:lang w:val="en-US" w:eastAsia="zh-CN" w:bidi="ar"/>
              </w:rPr>
              <w:t>职工代表大会</w:t>
            </w:r>
            <w:r>
              <w:rPr>
                <w:rFonts w:hint="eastAsia" w:ascii="宋体" w:hAnsi="宋体" w:cs="宋体"/>
                <w:color w:val="000000"/>
                <w:kern w:val="0"/>
                <w:sz w:val="21"/>
                <w:szCs w:val="21"/>
                <w:lang w:val="en-US" w:eastAsia="zh-CN" w:bidi="ar"/>
              </w:rPr>
              <w:t>、</w:t>
            </w:r>
            <w:r>
              <w:rPr>
                <w:szCs w:val="22"/>
              </w:rPr>
              <w:t>内部分享会、各级例会、员工座谈会等会议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noWrap w:val="0"/>
            <w:vAlign w:val="center"/>
          </w:tcPr>
          <w:p>
            <w:pPr>
              <w:adjustRightInd w:val="0"/>
              <w:snapToGrid w:val="0"/>
              <w:spacing w:line="300" w:lineRule="auto"/>
              <w:jc w:val="center"/>
              <w:rPr>
                <w:b/>
                <w:szCs w:val="22"/>
              </w:rPr>
            </w:pPr>
          </w:p>
        </w:tc>
        <w:tc>
          <w:tcPr>
            <w:tcW w:w="7230" w:type="dxa"/>
            <w:noWrap w:val="0"/>
            <w:vAlign w:val="center"/>
          </w:tcPr>
          <w:p>
            <w:pPr>
              <w:adjustRightInd w:val="0"/>
              <w:snapToGrid w:val="0"/>
              <w:spacing w:line="300" w:lineRule="auto"/>
              <w:rPr>
                <w:szCs w:val="22"/>
              </w:rPr>
            </w:pPr>
            <w:r>
              <w:rPr>
                <w:szCs w:val="22"/>
              </w:rPr>
              <w:t>企业文化活动（如：年终晚会、旅游/体育活动等）、学习交流会、成果分享会</w:t>
            </w:r>
            <w:r>
              <w:rPr>
                <w:rFonts w:hint="eastAsia"/>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noWrap w:val="0"/>
            <w:vAlign w:val="center"/>
          </w:tcPr>
          <w:p>
            <w:pPr>
              <w:adjustRightInd w:val="0"/>
              <w:snapToGrid w:val="0"/>
              <w:spacing w:line="300" w:lineRule="auto"/>
              <w:jc w:val="center"/>
              <w:rPr>
                <w:b/>
                <w:szCs w:val="22"/>
              </w:rPr>
            </w:pPr>
          </w:p>
        </w:tc>
        <w:tc>
          <w:tcPr>
            <w:tcW w:w="7230" w:type="dxa"/>
            <w:noWrap w:val="0"/>
            <w:vAlign w:val="center"/>
          </w:tcPr>
          <w:p>
            <w:pPr>
              <w:adjustRightInd w:val="0"/>
              <w:snapToGrid w:val="0"/>
              <w:spacing w:line="300" w:lineRule="auto"/>
              <w:rPr>
                <w:szCs w:val="22"/>
              </w:rPr>
            </w:pPr>
            <w:r>
              <w:rPr>
                <w:szCs w:val="22"/>
              </w:rPr>
              <w:t>微信群、电话、邮件等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adjustRightInd w:val="0"/>
              <w:snapToGrid w:val="0"/>
              <w:spacing w:line="300" w:lineRule="auto"/>
              <w:jc w:val="center"/>
              <w:rPr>
                <w:b/>
                <w:szCs w:val="22"/>
              </w:rPr>
            </w:pPr>
            <w:r>
              <w:rPr>
                <w:b/>
                <w:szCs w:val="22"/>
              </w:rPr>
              <w:t>客户</w:t>
            </w:r>
          </w:p>
        </w:tc>
        <w:tc>
          <w:tcPr>
            <w:tcW w:w="7230" w:type="dxa"/>
            <w:noWrap w:val="0"/>
            <w:vAlign w:val="center"/>
          </w:tcPr>
          <w:p>
            <w:pPr>
              <w:adjustRightInd w:val="0"/>
              <w:snapToGrid w:val="0"/>
              <w:spacing w:line="300" w:lineRule="auto"/>
              <w:rPr>
                <w:szCs w:val="22"/>
              </w:rPr>
            </w:pPr>
            <w:r>
              <w:rPr>
                <w:rFonts w:hint="eastAsia"/>
                <w:szCs w:val="22"/>
                <w:lang w:eastAsia="zh-CN"/>
              </w:rPr>
              <w:t>公司</w:t>
            </w:r>
            <w:r>
              <w:rPr>
                <w:szCs w:val="22"/>
              </w:rPr>
              <w:t>网站、产品展厅、广告媒体宣传、客户验厂、宣传册、高层拜访、电话沟通、</w:t>
            </w:r>
            <w:r>
              <w:rPr>
                <w:rFonts w:hint="eastAsia"/>
                <w:szCs w:val="22"/>
                <w:lang w:eastAsia="zh-CN"/>
              </w:rPr>
              <w:t>电子邮件、</w:t>
            </w:r>
            <w:r>
              <w:rPr>
                <w:szCs w:val="22"/>
              </w:rPr>
              <w:t>顾客满意度调查、服务热线等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242" w:type="dxa"/>
            <w:noWrap w:val="0"/>
            <w:vAlign w:val="center"/>
          </w:tcPr>
          <w:p>
            <w:pPr>
              <w:adjustRightInd w:val="0"/>
              <w:snapToGrid w:val="0"/>
              <w:spacing w:line="300" w:lineRule="auto"/>
              <w:jc w:val="center"/>
              <w:rPr>
                <w:b/>
                <w:szCs w:val="22"/>
              </w:rPr>
            </w:pPr>
            <w:r>
              <w:rPr>
                <w:b/>
                <w:szCs w:val="22"/>
              </w:rPr>
              <w:t>供应商</w:t>
            </w:r>
          </w:p>
        </w:tc>
        <w:tc>
          <w:tcPr>
            <w:tcW w:w="7230" w:type="dxa"/>
            <w:noWrap w:val="0"/>
            <w:vAlign w:val="center"/>
          </w:tcPr>
          <w:p>
            <w:pPr>
              <w:keepNext w:val="0"/>
              <w:keepLines w:val="0"/>
              <w:widowControl/>
              <w:suppressLineNumbers w:val="0"/>
              <w:jc w:val="left"/>
              <w:rPr>
                <w:szCs w:val="22"/>
              </w:rPr>
            </w:pPr>
            <w:r>
              <w:rPr>
                <w:rFonts w:hint="eastAsia"/>
                <w:szCs w:val="22"/>
                <w:lang w:eastAsia="zh-CN"/>
              </w:rPr>
              <w:t>公司</w:t>
            </w:r>
            <w:r>
              <w:rPr>
                <w:szCs w:val="22"/>
              </w:rPr>
              <w:t>网站、产品展厅、</w:t>
            </w:r>
            <w:r>
              <w:rPr>
                <w:rFonts w:hint="eastAsia" w:ascii="宋体" w:hAnsi="宋体" w:eastAsia="宋体" w:cs="宋体"/>
                <w:color w:val="000000"/>
                <w:kern w:val="0"/>
                <w:sz w:val="21"/>
                <w:szCs w:val="21"/>
                <w:lang w:val="en-US" w:eastAsia="zh-CN" w:bidi="ar"/>
              </w:rPr>
              <w:t>优秀供应商评选、供应商满意度调查、</w:t>
            </w:r>
            <w:r>
              <w:rPr>
                <w:szCs w:val="22"/>
              </w:rPr>
              <w:t>日常沟通（电话/邮件/传真）、供应商大会、现场考察、企业参观、高层拜访等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adjustRightInd w:val="0"/>
              <w:snapToGrid w:val="0"/>
              <w:spacing w:line="300" w:lineRule="auto"/>
              <w:jc w:val="center"/>
              <w:rPr>
                <w:b/>
                <w:szCs w:val="22"/>
              </w:rPr>
            </w:pPr>
            <w:r>
              <w:rPr>
                <w:b/>
                <w:szCs w:val="22"/>
              </w:rPr>
              <w:t>政府</w:t>
            </w:r>
          </w:p>
        </w:tc>
        <w:tc>
          <w:tcPr>
            <w:tcW w:w="7230" w:type="dxa"/>
            <w:noWrap w:val="0"/>
            <w:vAlign w:val="center"/>
          </w:tcPr>
          <w:p>
            <w:pPr>
              <w:adjustRightInd w:val="0"/>
              <w:snapToGrid w:val="0"/>
              <w:spacing w:line="300" w:lineRule="auto"/>
              <w:rPr>
                <w:szCs w:val="22"/>
              </w:rPr>
            </w:pPr>
            <w:r>
              <w:rPr>
                <w:szCs w:val="22"/>
              </w:rPr>
              <w:t>工作汇报、参观指导、公益活动、义工志愿者活动、慈善捐赠、企业网站、宣传册等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center"/>
          </w:tcPr>
          <w:p>
            <w:pPr>
              <w:adjustRightInd w:val="0"/>
              <w:snapToGrid w:val="0"/>
              <w:spacing w:line="300" w:lineRule="auto"/>
              <w:jc w:val="center"/>
              <w:rPr>
                <w:rFonts w:hint="eastAsia" w:eastAsia="宋体"/>
                <w:b/>
                <w:szCs w:val="22"/>
                <w:lang w:eastAsia="zh-CN"/>
              </w:rPr>
            </w:pPr>
            <w:r>
              <w:rPr>
                <w:rFonts w:hint="eastAsia"/>
                <w:b/>
                <w:szCs w:val="22"/>
                <w:lang w:eastAsia="zh-CN"/>
              </w:rPr>
              <w:t>股东</w:t>
            </w:r>
          </w:p>
        </w:tc>
        <w:tc>
          <w:tcPr>
            <w:tcW w:w="7230" w:type="dxa"/>
            <w:noWrap w:val="0"/>
            <w:vAlign w:val="center"/>
          </w:tcPr>
          <w:p>
            <w:pPr>
              <w:keepNext w:val="0"/>
              <w:keepLines w:val="0"/>
              <w:widowControl/>
              <w:suppressLineNumbers w:val="0"/>
              <w:jc w:val="left"/>
              <w:rPr>
                <w:rFonts w:hint="default"/>
                <w:szCs w:val="22"/>
                <w:lang w:val="en-US"/>
              </w:rPr>
            </w:pPr>
            <w:r>
              <w:rPr>
                <w:rFonts w:hint="eastAsia" w:ascii="宋体" w:hAnsi="宋体" w:eastAsia="宋体" w:cs="宋体"/>
                <w:color w:val="000000"/>
                <w:kern w:val="0"/>
                <w:sz w:val="21"/>
                <w:szCs w:val="21"/>
                <w:lang w:val="en-US" w:eastAsia="zh-CN" w:bidi="ar"/>
              </w:rPr>
              <w:t>股东大会、个别沟通、新闻媒体、网站、报刊、投资者关系专线</w:t>
            </w:r>
            <w:r>
              <w:rPr>
                <w:rFonts w:hint="eastAsia" w:ascii="宋体" w:hAnsi="宋体" w:cs="宋体"/>
                <w:color w:val="000000"/>
                <w:kern w:val="0"/>
                <w:sz w:val="21"/>
                <w:szCs w:val="21"/>
                <w:lang w:val="en-US" w:eastAsia="zh-CN" w:bidi="ar"/>
              </w:rPr>
              <w:t xml:space="preserve">                                                                                                                            </w:t>
            </w:r>
          </w:p>
        </w:tc>
      </w:tr>
    </w:tbl>
    <w:p>
      <w:pPr>
        <w:pStyle w:val="3"/>
        <w:numPr>
          <w:ilvl w:val="0"/>
          <w:numId w:val="0"/>
        </w:numPr>
        <w:spacing w:before="0" w:after="0" w:line="360" w:lineRule="auto"/>
        <w:ind w:firstLine="2570" w:firstLineChars="800"/>
        <w:rPr>
          <w:rFonts w:hint="eastAsia" w:ascii="宋体" w:hAnsi="宋体"/>
          <w:sz w:val="32"/>
        </w:rPr>
      </w:pPr>
      <w:r>
        <w:rPr>
          <w:rFonts w:hint="eastAsia" w:ascii="宋体" w:hAnsi="宋体"/>
          <w:sz w:val="32"/>
        </w:rPr>
        <w:br w:type="page"/>
      </w:r>
      <w:bookmarkStart w:id="10" w:name="_Toc24369"/>
      <w:r>
        <w:rPr>
          <w:rFonts w:hint="eastAsia" w:ascii="宋体" w:hAnsi="宋体"/>
          <w:sz w:val="32"/>
        </w:rPr>
        <w:t>二、社会责任绩效</w:t>
      </w:r>
      <w:bookmarkEnd w:id="10"/>
    </w:p>
    <w:p>
      <w:pPr>
        <w:pStyle w:val="3"/>
        <w:numPr>
          <w:ilvl w:val="0"/>
          <w:numId w:val="0"/>
        </w:numPr>
        <w:spacing w:before="0" w:after="0" w:line="360" w:lineRule="auto"/>
        <w:rPr>
          <w:rFonts w:ascii="宋体" w:hAnsi="宋体"/>
        </w:rPr>
      </w:pPr>
      <w:bookmarkStart w:id="11" w:name="_Toc26801"/>
      <w:r>
        <w:rPr>
          <w:rFonts w:hint="eastAsia" w:ascii="宋体" w:hAnsi="宋体"/>
        </w:rPr>
        <w:t>2.1社会责任履行情况</w:t>
      </w:r>
      <w:bookmarkEnd w:id="11"/>
    </w:p>
    <w:p>
      <w:pPr>
        <w:spacing w:line="360" w:lineRule="auto"/>
        <w:ind w:firstLine="480" w:firstLineChars="200"/>
        <w:rPr>
          <w:rFonts w:hint="eastAsia" w:ascii="宋体" w:hAnsi="宋体" w:cs="Arial"/>
          <w:bCs/>
          <w:sz w:val="24"/>
        </w:rPr>
      </w:pPr>
      <w:r>
        <w:rPr>
          <w:rFonts w:hint="eastAsia" w:ascii="宋体" w:hAnsi="宋体" w:cs="Arial"/>
          <w:bCs/>
          <w:sz w:val="24"/>
        </w:rPr>
        <w:t>公司在致力于自身发展的同时，还积极主动地履行社会责任，以更具社会责任感的组织行为增强其竞争优势，致力于成为卓越的企业公民。</w:t>
      </w:r>
    </w:p>
    <w:p>
      <w:pPr>
        <w:spacing w:line="360" w:lineRule="auto"/>
        <w:rPr>
          <w:rFonts w:ascii="宋体" w:hAnsi="宋体" w:cs="Arial"/>
          <w:bCs/>
          <w:sz w:val="24"/>
        </w:rPr>
      </w:pPr>
      <w:r>
        <w:rPr>
          <w:rFonts w:ascii="宋体" w:hAnsi="宋体" w:cs="Arial"/>
          <w:bCs/>
          <w:sz w:val="24"/>
        </w:rPr>
        <w:t></w:t>
      </w:r>
      <w:r>
        <w:rPr>
          <w:rFonts w:ascii="宋体" w:hAnsi="宋体" w:cs="Arial"/>
          <w:bCs/>
          <w:sz w:val="24"/>
        </w:rPr>
        <w:tab/>
      </w:r>
      <w:r>
        <w:rPr>
          <w:rFonts w:hint="eastAsia" w:ascii="宋体" w:hAnsi="宋体" w:cs="Arial"/>
          <w:bCs/>
          <w:sz w:val="24"/>
        </w:rPr>
        <w:t>在公共责任方面，遵守国家法律法规</w:t>
      </w:r>
      <w:r>
        <w:rPr>
          <w:rFonts w:hint="eastAsia" w:ascii="宋体" w:hAnsi="宋体" w:cs="Arial"/>
          <w:bCs/>
          <w:sz w:val="24"/>
          <w:lang w:eastAsia="zh-CN"/>
        </w:rPr>
        <w:t>，</w:t>
      </w:r>
      <w:r>
        <w:rPr>
          <w:rFonts w:hint="eastAsia" w:ascii="宋体" w:hAnsi="宋体" w:cs="Arial"/>
          <w:bCs/>
          <w:sz w:val="24"/>
        </w:rPr>
        <w:t>与时俱进，不断创新，把绿色环保、节能降耗、安全生产作为重点进行持续改进、不断优化，取得了一次又一次阶段性的成果，导入并通过了</w:t>
      </w:r>
      <w:r>
        <w:rPr>
          <w:rFonts w:ascii="宋体" w:hAnsi="宋体" w:cs="Arial"/>
          <w:bCs/>
          <w:sz w:val="24"/>
        </w:rPr>
        <w:t>ISO14001</w:t>
      </w:r>
      <w:r>
        <w:rPr>
          <w:rFonts w:hint="eastAsia" w:ascii="宋体" w:hAnsi="宋体" w:cs="Arial"/>
          <w:bCs/>
          <w:sz w:val="24"/>
        </w:rPr>
        <w:t>环境体系、</w:t>
      </w:r>
      <w:r>
        <w:rPr>
          <w:rFonts w:ascii="宋体" w:hAnsi="宋体" w:cs="Arial"/>
          <w:bCs/>
          <w:sz w:val="24"/>
        </w:rPr>
        <w:t>ISO45001</w:t>
      </w:r>
      <w:r>
        <w:rPr>
          <w:rFonts w:hint="eastAsia" w:ascii="宋体" w:hAnsi="宋体" w:cs="Arial"/>
          <w:bCs/>
          <w:sz w:val="24"/>
        </w:rPr>
        <w:t>：</w:t>
      </w:r>
      <w:r>
        <w:rPr>
          <w:rFonts w:ascii="宋体" w:hAnsi="宋体" w:cs="Arial"/>
          <w:bCs/>
          <w:sz w:val="24"/>
        </w:rPr>
        <w:t xml:space="preserve">2018 </w:t>
      </w:r>
      <w:r>
        <w:rPr>
          <w:rFonts w:hint="eastAsia" w:ascii="宋体" w:hAnsi="宋体" w:cs="Arial"/>
          <w:bCs/>
          <w:sz w:val="24"/>
        </w:rPr>
        <w:t>职业健康与安全管理体系认证。</w:t>
      </w:r>
    </w:p>
    <w:p>
      <w:pPr>
        <w:spacing w:line="360" w:lineRule="auto"/>
        <w:rPr>
          <w:rFonts w:ascii="宋体" w:hAnsi="宋体" w:cs="Arial"/>
          <w:bCs/>
          <w:sz w:val="24"/>
        </w:rPr>
      </w:pPr>
      <w:r>
        <w:rPr>
          <w:rFonts w:ascii="宋体" w:hAnsi="宋体" w:cs="Arial"/>
          <w:bCs/>
          <w:sz w:val="24"/>
        </w:rPr>
        <w:t></w:t>
      </w:r>
      <w:r>
        <w:rPr>
          <w:rFonts w:ascii="宋体" w:hAnsi="宋体" w:cs="Arial"/>
          <w:bCs/>
          <w:sz w:val="24"/>
        </w:rPr>
        <w:tab/>
      </w:r>
      <w:r>
        <w:rPr>
          <w:rFonts w:hint="eastAsia" w:ascii="宋体" w:hAnsi="宋体" w:cs="Arial"/>
          <w:bCs/>
          <w:sz w:val="24"/>
        </w:rPr>
        <w:t>在道德行为方面，遵守社会公德和商业道德规范，与相关方建立良好的关系。</w:t>
      </w:r>
    </w:p>
    <w:p>
      <w:pPr>
        <w:spacing w:line="360" w:lineRule="auto"/>
        <w:rPr>
          <w:rFonts w:hint="eastAsia" w:ascii="宋体" w:hAnsi="宋体" w:cs="Arial"/>
          <w:bCs/>
          <w:sz w:val="24"/>
        </w:rPr>
      </w:pPr>
      <w:r>
        <w:rPr>
          <w:rFonts w:ascii="宋体" w:hAnsi="宋体" w:cs="Arial"/>
          <w:bCs/>
          <w:sz w:val="24"/>
        </w:rPr>
        <w:t></w:t>
      </w:r>
      <w:r>
        <w:rPr>
          <w:rFonts w:ascii="宋体" w:hAnsi="宋体" w:cs="Arial"/>
          <w:bCs/>
          <w:sz w:val="24"/>
        </w:rPr>
        <w:tab/>
      </w:r>
      <w:r>
        <w:rPr>
          <w:rFonts w:hint="eastAsia" w:ascii="宋体" w:hAnsi="宋体" w:cs="Arial"/>
          <w:bCs/>
          <w:sz w:val="24"/>
        </w:rPr>
        <w:t>在公益支持方面，把“慈善、教育和社会建设”等作为重点支持领域，同时高层领导积极带头，普通员工热烈响应，以实际行动积极参与社会各项公益事业。</w:t>
      </w:r>
    </w:p>
    <w:p>
      <w:pPr>
        <w:spacing w:line="360" w:lineRule="auto"/>
        <w:ind w:firstLine="480" w:firstLineChars="200"/>
        <w:rPr>
          <w:rFonts w:hint="eastAsia" w:ascii="宋体" w:hAnsi="宋体" w:cs="Arial"/>
          <w:bCs/>
          <w:sz w:val="24"/>
        </w:rPr>
      </w:pPr>
      <w:r>
        <w:rPr>
          <w:rFonts w:hint="eastAsia" w:ascii="宋体" w:hAnsi="宋体"/>
          <w:sz w:val="24"/>
        </w:rPr>
        <w:t>近3年来公益支持累计近100.59万元。主要表现在：慈善捐款、扶贫、疫情捐助、协会公益活动等。</w:t>
      </w:r>
    </w:p>
    <w:p>
      <w:pPr>
        <w:pStyle w:val="3"/>
        <w:numPr>
          <w:ilvl w:val="0"/>
          <w:numId w:val="0"/>
        </w:numPr>
        <w:spacing w:before="0" w:after="0" w:line="360" w:lineRule="auto"/>
        <w:rPr>
          <w:rFonts w:ascii="宋体" w:hAnsi="宋体"/>
        </w:rPr>
      </w:pPr>
      <w:bookmarkStart w:id="12" w:name="_Toc6284"/>
      <w:r>
        <w:rPr>
          <w:rFonts w:hint="eastAsia" w:ascii="宋体" w:hAnsi="宋体"/>
        </w:rPr>
        <w:t>2.2股东及其他相关方利益保护</w:t>
      </w:r>
      <w:bookmarkEnd w:id="12"/>
    </w:p>
    <w:p>
      <w:pPr>
        <w:spacing w:line="360" w:lineRule="auto"/>
        <w:jc w:val="center"/>
        <w:rPr>
          <w:rFonts w:hint="eastAsia" w:ascii="宋体" w:hAnsi="宋体"/>
          <w:b/>
          <w:sz w:val="24"/>
        </w:rPr>
      </w:pPr>
    </w:p>
    <w:p>
      <w:pPr>
        <w:spacing w:line="360" w:lineRule="auto"/>
        <w:jc w:val="center"/>
        <w:rPr>
          <w:rFonts w:hint="eastAsia" w:ascii="宋体" w:hAnsi="宋体"/>
          <w:b/>
          <w:sz w:val="24"/>
        </w:rPr>
      </w:pPr>
      <w:r>
        <w:rPr>
          <w:rFonts w:hint="eastAsia" w:ascii="宋体" w:hAnsi="宋体"/>
          <w:b/>
          <w:sz w:val="24"/>
        </w:rPr>
        <w:t>图表-3</w:t>
      </w:r>
      <w:r>
        <w:rPr>
          <w:rFonts w:ascii="宋体" w:hAnsi="宋体"/>
          <w:b/>
          <w:sz w:val="24"/>
        </w:rPr>
        <w:t xml:space="preserve">  股东及其他</w:t>
      </w:r>
      <w:r>
        <w:rPr>
          <w:rFonts w:hint="eastAsia" w:ascii="宋体" w:hAnsi="宋体"/>
          <w:b/>
          <w:sz w:val="24"/>
        </w:rPr>
        <w:t>相关方利益保护</w:t>
      </w:r>
    </w:p>
    <w:tbl>
      <w:tblPr>
        <w:tblStyle w:val="18"/>
        <w:tblW w:w="87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6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790" w:type="dxa"/>
            <w:tcBorders>
              <w:bottom w:val="single" w:color="auto" w:sz="4" w:space="0"/>
            </w:tcBorders>
            <w:shd w:val="clear" w:color="auto" w:fill="FBE4D5"/>
            <w:noWrap w:val="0"/>
            <w:vAlign w:val="center"/>
          </w:tcPr>
          <w:p>
            <w:pPr>
              <w:jc w:val="center"/>
              <w:rPr>
                <w:rFonts w:hint="eastAsia" w:ascii="宋体" w:hAnsi="宋体"/>
                <w:b/>
                <w:kern w:val="0"/>
                <w:szCs w:val="21"/>
              </w:rPr>
            </w:pPr>
            <w:r>
              <w:rPr>
                <w:rFonts w:hint="eastAsia" w:ascii="宋体" w:hAnsi="宋体"/>
                <w:b/>
                <w:kern w:val="0"/>
                <w:szCs w:val="21"/>
              </w:rPr>
              <w:t>利益方</w:t>
            </w:r>
          </w:p>
        </w:tc>
        <w:tc>
          <w:tcPr>
            <w:tcW w:w="6957" w:type="dxa"/>
            <w:shd w:val="clear" w:color="auto" w:fill="FBE4D5"/>
            <w:noWrap w:val="0"/>
            <w:vAlign w:val="center"/>
          </w:tcPr>
          <w:p>
            <w:pPr>
              <w:jc w:val="center"/>
              <w:rPr>
                <w:rFonts w:hint="eastAsia" w:ascii="宋体" w:hAnsi="宋体"/>
                <w:b/>
                <w:kern w:val="0"/>
                <w:szCs w:val="21"/>
              </w:rPr>
            </w:pPr>
            <w:r>
              <w:rPr>
                <w:rFonts w:hint="eastAsia" w:ascii="宋体" w:hAnsi="宋体"/>
                <w:b/>
                <w:kern w:val="0"/>
                <w:szCs w:val="21"/>
              </w:rPr>
              <w:t>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0" w:type="dxa"/>
            <w:shd w:val="clear" w:color="auto" w:fill="FFFFFF"/>
            <w:noWrap w:val="0"/>
            <w:vAlign w:val="center"/>
          </w:tcPr>
          <w:p>
            <w:pPr>
              <w:jc w:val="center"/>
              <w:rPr>
                <w:rFonts w:hint="eastAsia" w:ascii="宋体" w:hAnsi="宋体"/>
                <w:kern w:val="0"/>
                <w:szCs w:val="21"/>
              </w:rPr>
            </w:pPr>
            <w:r>
              <w:rPr>
                <w:rFonts w:hint="eastAsia" w:ascii="宋体" w:hAnsi="宋体"/>
                <w:kern w:val="0"/>
                <w:szCs w:val="21"/>
              </w:rPr>
              <w:t>股东利益</w:t>
            </w:r>
          </w:p>
        </w:tc>
        <w:tc>
          <w:tcPr>
            <w:tcW w:w="6957" w:type="dxa"/>
            <w:noWrap w:val="0"/>
            <w:vAlign w:val="top"/>
          </w:tcPr>
          <w:p>
            <w:pPr>
              <w:rPr>
                <w:rFonts w:hint="eastAsia" w:ascii="宋体" w:hAnsi="宋体"/>
                <w:kern w:val="0"/>
                <w:szCs w:val="21"/>
                <w:highlight w:val="yellow"/>
              </w:rPr>
            </w:pPr>
            <w:r>
              <w:rPr>
                <w:rFonts w:hint="eastAsia" w:ascii="宋体" w:hAnsi="宋体"/>
                <w:kern w:val="0"/>
                <w:szCs w:val="21"/>
              </w:rPr>
              <w:t>公司每年进行</w:t>
            </w:r>
            <w:r>
              <w:rPr>
                <w:rFonts w:ascii="宋体" w:hAnsi="宋体"/>
                <w:kern w:val="0"/>
                <w:szCs w:val="21"/>
              </w:rPr>
              <w:t>股份分</w:t>
            </w:r>
            <w:r>
              <w:rPr>
                <w:rFonts w:hint="eastAsia" w:ascii="宋体" w:hAnsi="宋体"/>
                <w:kern w:val="0"/>
                <w:szCs w:val="21"/>
              </w:rPr>
              <w:t>红</w:t>
            </w:r>
            <w:r>
              <w:rPr>
                <w:rFonts w:ascii="宋体" w:hAnsi="宋体"/>
                <w:kern w:val="0"/>
                <w:szCs w:val="21"/>
              </w:rPr>
              <w:t>，确保股东利益得到保障。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0" w:type="dxa"/>
            <w:tcBorders>
              <w:bottom w:val="single" w:color="auto" w:sz="4" w:space="0"/>
            </w:tcBorders>
            <w:shd w:val="clear" w:color="auto" w:fill="FFFFFF"/>
            <w:noWrap w:val="0"/>
            <w:vAlign w:val="center"/>
          </w:tcPr>
          <w:p>
            <w:pPr>
              <w:jc w:val="center"/>
              <w:rPr>
                <w:rFonts w:hint="eastAsia" w:ascii="宋体" w:hAnsi="宋体"/>
                <w:kern w:val="0"/>
                <w:szCs w:val="21"/>
              </w:rPr>
            </w:pPr>
            <w:r>
              <w:rPr>
                <w:rFonts w:hint="eastAsia" w:ascii="宋体" w:hAnsi="宋体"/>
                <w:kern w:val="0"/>
                <w:szCs w:val="21"/>
              </w:rPr>
              <w:t>员工利益</w:t>
            </w:r>
          </w:p>
        </w:tc>
        <w:tc>
          <w:tcPr>
            <w:tcW w:w="6957" w:type="dxa"/>
            <w:noWrap w:val="0"/>
            <w:vAlign w:val="center"/>
          </w:tcPr>
          <w:p>
            <w:pPr>
              <w:jc w:val="left"/>
              <w:rPr>
                <w:rFonts w:hint="eastAsia" w:ascii="宋体" w:hAnsi="宋体"/>
                <w:kern w:val="0"/>
                <w:szCs w:val="21"/>
              </w:rPr>
            </w:pPr>
            <w:r>
              <w:rPr>
                <w:rFonts w:hint="eastAsia" w:ascii="宋体" w:hAnsi="宋体"/>
                <w:kern w:val="0"/>
                <w:szCs w:val="21"/>
              </w:rPr>
              <w:t>实行全员劳动合同制管理，按时发放员工薪水，为员工缴纳</w:t>
            </w:r>
            <w:r>
              <w:rPr>
                <w:rFonts w:hint="eastAsia" w:ascii="宋体" w:hAnsi="宋体"/>
                <w:kern w:val="0"/>
                <w:szCs w:val="21"/>
                <w:lang w:eastAsia="zh-CN"/>
              </w:rPr>
              <w:t>社保</w:t>
            </w:r>
            <w:r>
              <w:rPr>
                <w:rFonts w:hint="eastAsia" w:ascii="宋体" w:hAnsi="宋体"/>
                <w:kern w:val="0"/>
                <w:szCs w:val="21"/>
              </w:rPr>
              <w:t>； 通过生产线自动化改造改善员工的工作环境，降低员工劳动强度</w:t>
            </w:r>
            <w:r>
              <w:rPr>
                <w:rFonts w:hint="eastAsia" w:ascii="宋体" w:hAnsi="宋体"/>
                <w:kern w:val="0"/>
                <w:szCs w:val="21"/>
                <w:lang w:eastAsia="zh-CN"/>
              </w:rPr>
              <w:t>，定期安排体检</w:t>
            </w:r>
            <w:r>
              <w:rPr>
                <w:rFonts w:hint="eastAsia" w:ascii="宋体" w:hAnsi="宋体"/>
                <w:kern w:val="0"/>
                <w:szCs w:val="21"/>
              </w:rPr>
              <w:t>； 依照社会水平每年进行调薪。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0" w:type="dxa"/>
            <w:shd w:val="clear" w:color="auto" w:fill="FFFFFF"/>
            <w:noWrap w:val="0"/>
            <w:vAlign w:val="center"/>
          </w:tcPr>
          <w:p>
            <w:pPr>
              <w:jc w:val="center"/>
              <w:rPr>
                <w:rFonts w:hint="eastAsia" w:ascii="宋体" w:hAnsi="宋体"/>
                <w:kern w:val="0"/>
                <w:szCs w:val="21"/>
              </w:rPr>
            </w:pPr>
            <w:r>
              <w:rPr>
                <w:rFonts w:hint="eastAsia" w:ascii="宋体" w:hAnsi="宋体"/>
                <w:kern w:val="0"/>
                <w:szCs w:val="21"/>
              </w:rPr>
              <w:t>供应商利益</w:t>
            </w:r>
          </w:p>
        </w:tc>
        <w:tc>
          <w:tcPr>
            <w:tcW w:w="6957" w:type="dxa"/>
            <w:noWrap w:val="0"/>
            <w:vAlign w:val="top"/>
          </w:tcPr>
          <w:p>
            <w:pPr>
              <w:rPr>
                <w:rFonts w:hint="eastAsia" w:ascii="宋体" w:hAnsi="宋体"/>
                <w:kern w:val="0"/>
                <w:szCs w:val="21"/>
              </w:rPr>
            </w:pPr>
            <w:r>
              <w:rPr>
                <w:rFonts w:hint="eastAsia" w:ascii="宋体" w:hAnsi="宋体"/>
                <w:kern w:val="0"/>
                <w:szCs w:val="21"/>
              </w:rPr>
              <w:t>根据供应商管理制度，对供应商进行公正评估；严格按月结</w:t>
            </w:r>
            <w:r>
              <w:rPr>
                <w:rFonts w:hint="eastAsia" w:ascii="宋体" w:hAnsi="宋体"/>
                <w:kern w:val="0"/>
                <w:szCs w:val="21"/>
                <w:lang w:eastAsia="zh-CN"/>
              </w:rPr>
              <w:t>季结</w:t>
            </w:r>
            <w:r>
              <w:rPr>
                <w:rFonts w:hint="eastAsia" w:ascii="宋体" w:hAnsi="宋体"/>
                <w:kern w:val="0"/>
                <w:szCs w:val="21"/>
              </w:rPr>
              <w:t>时间付款，从不拖欠或压款； 帮助供应商进行整改，提升供应能力和质量管理水平；通过反腐措施，对采购进行监控，维护供应商利益。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0" w:type="dxa"/>
            <w:shd w:val="clear" w:color="auto" w:fill="FFFFFF"/>
            <w:noWrap w:val="0"/>
            <w:vAlign w:val="center"/>
          </w:tcPr>
          <w:p>
            <w:pPr>
              <w:jc w:val="center"/>
              <w:rPr>
                <w:rFonts w:hint="eastAsia" w:ascii="宋体" w:hAnsi="宋体"/>
                <w:kern w:val="0"/>
                <w:szCs w:val="21"/>
              </w:rPr>
            </w:pPr>
            <w:r>
              <w:rPr>
                <w:rFonts w:hint="eastAsia" w:ascii="宋体" w:hAnsi="宋体"/>
                <w:kern w:val="0"/>
                <w:szCs w:val="21"/>
              </w:rPr>
              <w:t>顾客利益</w:t>
            </w:r>
          </w:p>
        </w:tc>
        <w:tc>
          <w:tcPr>
            <w:tcW w:w="6957" w:type="dxa"/>
            <w:noWrap w:val="0"/>
            <w:vAlign w:val="top"/>
          </w:tcPr>
          <w:p>
            <w:pPr>
              <w:rPr>
                <w:rFonts w:hint="eastAsia" w:ascii="宋体" w:hAnsi="宋体"/>
                <w:kern w:val="0"/>
                <w:szCs w:val="21"/>
              </w:rPr>
            </w:pPr>
            <w:r>
              <w:rPr>
                <w:rFonts w:hint="eastAsia" w:ascii="宋体" w:hAnsi="宋体"/>
                <w:kern w:val="0"/>
                <w:szCs w:val="21"/>
              </w:rPr>
              <w:t>通过ISO9001质量体系对产品质量进行严格把关，确保顾客利益不受损害，协助客户维护市场维护顾客利益。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0" w:type="dxa"/>
            <w:shd w:val="clear" w:color="auto" w:fill="FFFFFF"/>
            <w:noWrap w:val="0"/>
            <w:vAlign w:val="center"/>
          </w:tcPr>
          <w:p>
            <w:pPr>
              <w:ind w:left="315" w:hanging="315" w:hangingChars="150"/>
              <w:jc w:val="center"/>
              <w:rPr>
                <w:rFonts w:hint="eastAsia" w:ascii="宋体" w:hAnsi="宋体"/>
                <w:kern w:val="0"/>
                <w:szCs w:val="21"/>
              </w:rPr>
            </w:pPr>
            <w:r>
              <w:rPr>
                <w:rFonts w:hint="eastAsia" w:ascii="宋体" w:hAnsi="宋体"/>
                <w:kern w:val="0"/>
                <w:szCs w:val="21"/>
              </w:rPr>
              <w:t>其它相关方利益</w:t>
            </w:r>
          </w:p>
        </w:tc>
        <w:tc>
          <w:tcPr>
            <w:tcW w:w="6957" w:type="dxa"/>
            <w:noWrap w:val="0"/>
            <w:vAlign w:val="top"/>
          </w:tcPr>
          <w:p>
            <w:pPr>
              <w:rPr>
                <w:rFonts w:hint="eastAsia" w:ascii="宋体" w:hAnsi="宋体"/>
                <w:kern w:val="0"/>
                <w:szCs w:val="21"/>
              </w:rPr>
            </w:pPr>
            <w:r>
              <w:rPr>
                <w:rFonts w:hint="eastAsia" w:ascii="宋体" w:hAnsi="宋体"/>
                <w:kern w:val="0"/>
                <w:szCs w:val="21"/>
              </w:rPr>
              <w:t>公司通过依法纳税、节能降耗、公益支持等活动，维护其它相关方的利益。</w:t>
            </w:r>
          </w:p>
        </w:tc>
      </w:tr>
    </w:tbl>
    <w:p>
      <w:pPr>
        <w:pStyle w:val="15"/>
        <w:shd w:val="clear" w:color="auto" w:fill="FFFFFF"/>
        <w:spacing w:before="0" w:beforeAutospacing="0" w:after="0" w:afterAutospacing="0" w:line="360" w:lineRule="auto"/>
        <w:textAlignment w:val="baseline"/>
        <w:rPr>
          <w:rFonts w:cs="Arial"/>
          <w:bCs/>
          <w:kern w:val="2"/>
        </w:rPr>
      </w:pPr>
      <w:r>
        <w:rPr>
          <w:rFonts w:hint="eastAsia" w:cs="Arial"/>
          <w:bCs/>
          <w:kern w:val="2"/>
        </w:rPr>
        <w:t>1）、公司治理科学规范</w:t>
      </w:r>
    </w:p>
    <w:p>
      <w:pPr>
        <w:pStyle w:val="15"/>
        <w:shd w:val="clear" w:color="auto" w:fill="FFFFFF"/>
        <w:spacing w:before="0" w:beforeAutospacing="0" w:after="0" w:afterAutospacing="0" w:line="360" w:lineRule="auto"/>
        <w:ind w:firstLine="480" w:firstLineChars="200"/>
        <w:textAlignment w:val="baseline"/>
        <w:rPr>
          <w:rFonts w:hint="eastAsia" w:cs="Arial"/>
          <w:bCs/>
          <w:kern w:val="2"/>
        </w:rPr>
      </w:pPr>
      <w:r>
        <w:rPr>
          <w:rFonts w:hint="eastAsia" w:cs="Arial"/>
          <w:bCs/>
          <w:kern w:val="2"/>
        </w:rPr>
        <w:t>公司根据《公司法》等有关法律法规和公司《章程》，建立规范的公司治理结构和议事规则，明确决策、执行、监督等方面的职责权限，形成了科学有效的职责分工和制衡机制。公司董事会任命总经理，代表公司负责企业管理各项工作，完成董事会下达的指标和任务。</w:t>
      </w:r>
    </w:p>
    <w:p>
      <w:pPr>
        <w:pStyle w:val="15"/>
        <w:shd w:val="clear" w:color="auto" w:fill="FFFFFF"/>
        <w:spacing w:before="0" w:beforeAutospacing="0" w:after="0" w:afterAutospacing="0" w:line="360" w:lineRule="auto"/>
        <w:textAlignment w:val="baseline"/>
        <w:rPr>
          <w:rFonts w:cs="Arial"/>
          <w:bCs/>
          <w:kern w:val="2"/>
        </w:rPr>
      </w:pPr>
      <w:r>
        <w:rPr>
          <w:rFonts w:hint="eastAsia" w:cs="Arial"/>
          <w:bCs/>
          <w:kern w:val="2"/>
        </w:rPr>
        <w:t>2）、股东利益的保护</w:t>
      </w:r>
    </w:p>
    <w:p>
      <w:pPr>
        <w:pStyle w:val="15"/>
        <w:shd w:val="clear" w:color="auto" w:fill="FFFFFF"/>
        <w:spacing w:before="0" w:beforeAutospacing="0" w:after="0" w:afterAutospacing="0" w:line="360" w:lineRule="auto"/>
        <w:ind w:firstLine="480" w:firstLineChars="200"/>
        <w:textAlignment w:val="baseline"/>
        <w:rPr>
          <w:rFonts w:hint="eastAsia" w:cs="Arial"/>
          <w:bCs/>
          <w:kern w:val="2"/>
        </w:rPr>
      </w:pPr>
      <w:r>
        <w:rPr>
          <w:rFonts w:hint="eastAsia" w:cs="Arial"/>
          <w:bCs/>
          <w:kern w:val="2"/>
        </w:rPr>
        <w:t>公司遵照《公司法》 、《公司章程》及内部管理制度，保障股东充分享有各项合法权益。每年定期召开股东会议，针对重大决策进行讨论决定。</w:t>
      </w:r>
    </w:p>
    <w:p>
      <w:pPr>
        <w:pStyle w:val="15"/>
        <w:shd w:val="clear" w:color="auto" w:fill="FFFFFF"/>
        <w:spacing w:before="0" w:beforeAutospacing="0" w:after="0" w:afterAutospacing="0" w:line="360" w:lineRule="auto"/>
        <w:ind w:firstLine="480" w:firstLineChars="200"/>
        <w:textAlignment w:val="baseline"/>
        <w:rPr>
          <w:rFonts w:cs="Arial"/>
          <w:bCs/>
          <w:kern w:val="2"/>
        </w:rPr>
      </w:pPr>
      <w:r>
        <w:rPr>
          <w:rFonts w:hint="eastAsia" w:cs="Arial"/>
          <w:bCs/>
          <w:kern w:val="2"/>
        </w:rPr>
        <w:t>加建立良好的投资者关系。公司一直非常重视投资者关系管理，与投资者保持着通畅、真诚的关系。</w:t>
      </w:r>
    </w:p>
    <w:p>
      <w:pPr>
        <w:pStyle w:val="15"/>
        <w:shd w:val="clear" w:color="auto" w:fill="FFFFFF"/>
        <w:spacing w:before="0" w:beforeAutospacing="0" w:after="0" w:afterAutospacing="0" w:line="360" w:lineRule="auto"/>
        <w:textAlignment w:val="baseline"/>
        <w:rPr>
          <w:rFonts w:cs="Arial"/>
          <w:bCs/>
          <w:kern w:val="2"/>
        </w:rPr>
      </w:pPr>
      <w:r>
        <w:rPr>
          <w:rFonts w:hint="eastAsia" w:cs="Arial"/>
          <w:bCs/>
          <w:kern w:val="2"/>
        </w:rPr>
        <w:t>3）、创造价值，回报股东</w:t>
      </w:r>
    </w:p>
    <w:p>
      <w:pPr>
        <w:pStyle w:val="15"/>
        <w:shd w:val="clear" w:color="auto" w:fill="FFFFFF"/>
        <w:spacing w:before="0" w:beforeAutospacing="0" w:after="0" w:afterAutospacing="0" w:line="360" w:lineRule="auto"/>
        <w:ind w:firstLine="480" w:firstLineChars="200"/>
        <w:textAlignment w:val="baseline"/>
        <w:rPr>
          <w:rFonts w:cs="Arial"/>
          <w:bCs/>
          <w:kern w:val="2"/>
        </w:rPr>
      </w:pPr>
      <w:r>
        <w:rPr>
          <w:rFonts w:hint="eastAsia" w:cs="Arial"/>
          <w:bCs/>
          <w:kern w:val="2"/>
        </w:rPr>
        <w:t>公司发展战略清晰，主业聚焦，经营稳健扩张。公司《章程》对现金分红及股利分配的条件、分配比例、决策机制等事项进行了明确，积极保障股东权益。在保证对主业发展足够投入的前提下，结合公司业绩，积极实施利润分配方案。</w:t>
      </w:r>
    </w:p>
    <w:p>
      <w:pPr>
        <w:pStyle w:val="3"/>
        <w:numPr>
          <w:ilvl w:val="0"/>
          <w:numId w:val="0"/>
        </w:numPr>
        <w:spacing w:before="0" w:after="0" w:line="360" w:lineRule="auto"/>
        <w:rPr>
          <w:rFonts w:ascii="宋体" w:hAnsi="宋体"/>
        </w:rPr>
      </w:pPr>
      <w:bookmarkStart w:id="13" w:name="_Toc29847"/>
      <w:r>
        <w:rPr>
          <w:rFonts w:hint="eastAsia" w:ascii="宋体" w:hAnsi="宋体"/>
        </w:rPr>
        <w:t>2.3员工权益保护</w:t>
      </w:r>
      <w:bookmarkEnd w:id="13"/>
    </w:p>
    <w:p>
      <w:pPr>
        <w:pStyle w:val="46"/>
        <w:spacing w:line="360" w:lineRule="auto"/>
        <w:ind w:firstLine="480" w:firstLineChars="200"/>
        <w:rPr>
          <w:rFonts w:ascii="宋体" w:hAnsi="宋体"/>
          <w:b/>
          <w:sz w:val="24"/>
          <w:szCs w:val="24"/>
        </w:rPr>
      </w:pPr>
      <w:r>
        <w:rPr>
          <w:rFonts w:hint="eastAsia" w:cs="Arial"/>
          <w:bCs/>
          <w:sz w:val="24"/>
          <w:szCs w:val="24"/>
        </w:rPr>
        <w:t>公司尊重员工价值创造，为员工创造良好的工作平台和发展环境的同时，积极推行平台引才、借智发展政策，科学系统地形成了一整套规范、灵活、切合公司实际的用人机制，充分调动凝聚士气，共谋发展。</w:t>
      </w:r>
    </w:p>
    <w:p>
      <w:pPr>
        <w:pStyle w:val="15"/>
        <w:shd w:val="clear" w:color="auto" w:fill="FFFFFF"/>
        <w:spacing w:before="0" w:beforeAutospacing="0" w:after="0" w:afterAutospacing="0" w:line="360" w:lineRule="auto"/>
        <w:ind w:firstLine="480" w:firstLineChars="200"/>
        <w:textAlignment w:val="baseline"/>
        <w:rPr>
          <w:rFonts w:hint="eastAsia" w:cs="Arial"/>
          <w:bCs/>
          <w:kern w:val="2"/>
        </w:rPr>
      </w:pPr>
      <w:r>
        <w:rPr>
          <w:rFonts w:hint="eastAsia" w:cs="Arial"/>
          <w:bCs/>
          <w:kern w:val="2"/>
        </w:rPr>
        <w:t>严格遵守 《劳动法》，保障职工的合法权益。公司严格遵守 《劳动法》 、《劳动合同法》等法律法规的规定，实行全员劳动合同制，与所有员工签订劳动合同；严格执行社会保障制度，参加社会保险、住房公积金，切实维护员工的合法权益。同时，公司还重视对员工的福利建设，如“三八节”、“端午节”、“中秋节”、“春节”等传统节日为职工送上礼品。积极倡导员工参与企业党建、工会组织、业余文化活动等，树立员工国家意识、社会责任，丰富员工业余生活。完善薪酬管理制度。公司建立了较为科学的人力资源管理制度和薪酬绩效体系，公司与员工签订公平、明确、真实、合法的劳动合同，规范公司与员工之间的权利义务，确保员工享受应有的福利待遇。</w:t>
      </w:r>
    </w:p>
    <w:p>
      <w:pPr>
        <w:pStyle w:val="46"/>
        <w:spacing w:line="360" w:lineRule="auto"/>
        <w:rPr>
          <w:rFonts w:hint="eastAsia" w:ascii="宋体" w:hAnsi="宋体"/>
          <w:b/>
          <w:sz w:val="24"/>
          <w:szCs w:val="24"/>
        </w:rPr>
      </w:pPr>
      <w:r>
        <w:rPr>
          <w:rFonts w:hint="eastAsia" w:ascii="宋体" w:hAnsi="宋体"/>
          <w:b/>
          <w:sz w:val="24"/>
          <w:szCs w:val="24"/>
        </w:rPr>
        <w:t>2.3.1、</w:t>
      </w:r>
      <w:r>
        <w:rPr>
          <w:rFonts w:ascii="宋体" w:hAnsi="宋体"/>
          <w:b/>
          <w:sz w:val="24"/>
          <w:szCs w:val="24"/>
        </w:rPr>
        <w:t>薪资福利</w:t>
      </w:r>
    </w:p>
    <w:p>
      <w:pPr>
        <w:spacing w:line="360" w:lineRule="auto"/>
        <w:ind w:firstLine="480" w:firstLineChars="200"/>
        <w:rPr>
          <w:rFonts w:hint="eastAsia" w:ascii="宋体" w:hAnsi="宋体" w:cs="Arial"/>
          <w:bCs/>
          <w:sz w:val="24"/>
        </w:rPr>
      </w:pPr>
      <w:r>
        <w:rPr>
          <w:rFonts w:hint="eastAsia" w:ascii="宋体" w:hAnsi="宋体" w:cs="Arial"/>
          <w:bCs/>
          <w:sz w:val="24"/>
        </w:rPr>
        <w:t>公司会根据岗位职能不同确定职级和薪资数；在职员工根据公司薪酬制度，考虑经营业绩和个人业绩，结合薪资市场竞争力，制定当年的薪资政策来调整职级和薪资数。除员工的月标准薪资外，公司会根据经营业绩、个人绩效、贡献价值等因素发放额外的奖金奖励。</w:t>
      </w:r>
    </w:p>
    <w:p>
      <w:pPr>
        <w:spacing w:line="360" w:lineRule="auto"/>
        <w:ind w:firstLine="480" w:firstLineChars="200"/>
        <w:rPr>
          <w:rFonts w:hint="eastAsia" w:hAnsi="宋体"/>
          <w:sz w:val="24"/>
          <w:szCs w:val="21"/>
        </w:rPr>
      </w:pPr>
      <w:r>
        <w:rPr>
          <w:rFonts w:hint="eastAsia" w:ascii="宋体" w:hAnsi="宋体" w:cs="Arial"/>
          <w:bCs/>
          <w:sz w:val="24"/>
        </w:rPr>
        <w:t>公司福利制度包括</w:t>
      </w:r>
      <w:r>
        <w:rPr>
          <w:rFonts w:hint="eastAsia" w:ascii="宋体" w:hAnsi="宋体" w:cs="Arial"/>
          <w:bCs/>
          <w:sz w:val="24"/>
          <w:lang w:eastAsia="zh-CN"/>
        </w:rPr>
        <w:t>社保</w:t>
      </w:r>
      <w:r>
        <w:rPr>
          <w:rFonts w:hint="eastAsia" w:ascii="宋体" w:hAnsi="宋体" w:cs="Arial"/>
          <w:bCs/>
          <w:sz w:val="24"/>
        </w:rPr>
        <w:t>、年终奖、技术（岗位）津贴、</w:t>
      </w:r>
      <w:r>
        <w:rPr>
          <w:rFonts w:hint="eastAsia" w:ascii="宋体" w:hAnsi="宋体" w:cs="Arial"/>
          <w:bCs/>
          <w:sz w:val="24"/>
          <w:lang w:eastAsia="zh-CN"/>
        </w:rPr>
        <w:t>夜班津贴、</w:t>
      </w:r>
      <w:r>
        <w:rPr>
          <w:rFonts w:hint="eastAsia" w:ascii="宋体" w:hAnsi="宋体" w:cs="Arial"/>
          <w:bCs/>
          <w:sz w:val="24"/>
        </w:rPr>
        <w:t>高温补贴、工伤慰问、</w:t>
      </w:r>
      <w:r>
        <w:rPr>
          <w:rFonts w:hint="eastAsia" w:ascii="宋体" w:hAnsi="宋体" w:cs="Arial"/>
          <w:bCs/>
          <w:sz w:val="24"/>
          <w:lang w:eastAsia="zh-CN"/>
        </w:rPr>
        <w:t>培训补贴、定期体检、工龄津贴、</w:t>
      </w:r>
      <w:r>
        <w:rPr>
          <w:rFonts w:hint="eastAsia" w:ascii="宋体" w:hAnsi="宋体" w:cs="Arial"/>
          <w:bCs/>
          <w:sz w:val="24"/>
        </w:rPr>
        <w:t>各类节日福利等及满勤奖、突出贡献奖等激励措施。</w:t>
      </w:r>
    </w:p>
    <w:p>
      <w:pPr>
        <w:pStyle w:val="46"/>
        <w:spacing w:line="360" w:lineRule="auto"/>
        <w:rPr>
          <w:rFonts w:hint="eastAsia" w:ascii="宋体" w:hAnsi="宋体"/>
          <w:b/>
          <w:sz w:val="24"/>
          <w:szCs w:val="24"/>
        </w:rPr>
      </w:pPr>
      <w:r>
        <w:rPr>
          <w:rFonts w:hint="eastAsia" w:ascii="宋体" w:hAnsi="宋体"/>
          <w:b/>
          <w:sz w:val="24"/>
          <w:szCs w:val="24"/>
        </w:rPr>
        <w:t>2.3.2员工的学习和发展</w:t>
      </w:r>
    </w:p>
    <w:p>
      <w:pPr>
        <w:pStyle w:val="46"/>
        <w:spacing w:line="360" w:lineRule="auto"/>
        <w:rPr>
          <w:rFonts w:hint="eastAsia" w:ascii="宋体" w:hAnsi="宋体"/>
          <w:b/>
          <w:sz w:val="24"/>
          <w:szCs w:val="24"/>
        </w:rPr>
      </w:pPr>
      <w:r>
        <w:rPr>
          <w:rFonts w:hint="eastAsia" w:ascii="宋体" w:hAnsi="宋体"/>
          <w:b/>
          <w:sz w:val="24"/>
          <w:szCs w:val="24"/>
        </w:rPr>
        <w:t>2.3.2.1员工学习</w:t>
      </w:r>
    </w:p>
    <w:p>
      <w:pPr>
        <w:spacing w:line="360" w:lineRule="auto"/>
        <w:ind w:firstLine="480" w:firstLineChars="200"/>
        <w:rPr>
          <w:rFonts w:hint="eastAsia" w:ascii="宋体" w:hAnsi="宋体"/>
          <w:sz w:val="24"/>
        </w:rPr>
      </w:pPr>
      <w:r>
        <w:rPr>
          <w:rFonts w:hint="eastAsia" w:ascii="宋体" w:hAnsi="宋体"/>
          <w:sz w:val="24"/>
        </w:rPr>
        <w:t>为了实现公司战略和战略目标，提高员工的工作能力，增强组织和个人的应变和适应能力，提高员工对公司企业文化的认同感和归属感，在内部营造一个积极的学习氛围，公司每年</w:t>
      </w:r>
      <w:r>
        <w:rPr>
          <w:rFonts w:hint="eastAsia" w:ascii="宋体" w:hAnsi="宋体"/>
          <w:sz w:val="24"/>
          <w:lang w:eastAsia="zh-CN"/>
        </w:rPr>
        <w:t>年末</w:t>
      </w:r>
      <w:r>
        <w:rPr>
          <w:rFonts w:hint="eastAsia" w:ascii="宋体" w:hAnsi="宋体"/>
          <w:sz w:val="24"/>
        </w:rPr>
        <w:t>会根据各个部门的实际需求编制</w:t>
      </w:r>
      <w:r>
        <w:rPr>
          <w:rFonts w:hint="eastAsia" w:ascii="宋体" w:hAnsi="宋体"/>
          <w:sz w:val="24"/>
          <w:lang w:eastAsia="zh-CN"/>
        </w:rPr>
        <w:t>下一年度的</w:t>
      </w:r>
      <w:r>
        <w:rPr>
          <w:rFonts w:hint="eastAsia" w:ascii="宋体" w:hAnsi="宋体"/>
          <w:sz w:val="24"/>
        </w:rPr>
        <w:t>《年度培训计划表》，并在实际实施过程中予以补充完善，具体从以下四个方面阐述：</w:t>
      </w:r>
    </w:p>
    <w:p>
      <w:pPr>
        <w:numPr>
          <w:ilvl w:val="0"/>
          <w:numId w:val="4"/>
        </w:numPr>
        <w:spacing w:line="360" w:lineRule="auto"/>
        <w:rPr>
          <w:rFonts w:hint="eastAsia" w:ascii="宋体" w:hAnsi="宋体"/>
          <w:b/>
          <w:sz w:val="24"/>
        </w:rPr>
      </w:pPr>
      <w:r>
        <w:rPr>
          <w:rFonts w:hint="eastAsia" w:ascii="宋体" w:hAnsi="宋体"/>
          <w:b/>
          <w:sz w:val="24"/>
        </w:rPr>
        <w:t>培训需求分析</w:t>
      </w:r>
    </w:p>
    <w:p>
      <w:pPr>
        <w:spacing w:line="360" w:lineRule="auto"/>
        <w:ind w:firstLine="480" w:firstLineChars="200"/>
        <w:rPr>
          <w:rFonts w:hint="eastAsia" w:ascii="宋体" w:hAnsi="宋体"/>
          <w:sz w:val="24"/>
        </w:rPr>
      </w:pPr>
      <w:r>
        <w:rPr>
          <w:rFonts w:hint="eastAsia" w:ascii="宋体" w:hAnsi="宋体"/>
          <w:sz w:val="24"/>
        </w:rPr>
        <w:t>办公室每年12月份启动下一年度培训计划需求调查工作，通过问卷、面谈等方式搜集公司层面、部门层面及员工个人层面的培训需求，然后结合公司战略发展需求、年度经营目标等进行综合评估，确定各层级、各部门的培训需求。</w:t>
      </w:r>
    </w:p>
    <w:p>
      <w:pPr>
        <w:numPr>
          <w:ilvl w:val="0"/>
          <w:numId w:val="4"/>
        </w:numPr>
        <w:spacing w:line="360" w:lineRule="auto"/>
        <w:rPr>
          <w:rFonts w:hint="eastAsia" w:ascii="宋体" w:hAnsi="宋体"/>
          <w:b/>
          <w:sz w:val="24"/>
        </w:rPr>
      </w:pPr>
      <w:r>
        <w:rPr>
          <w:rFonts w:hint="eastAsia" w:ascii="宋体" w:hAnsi="宋体"/>
          <w:b/>
          <w:sz w:val="24"/>
        </w:rPr>
        <w:t>培训计划制定</w:t>
      </w:r>
    </w:p>
    <w:p>
      <w:pPr>
        <w:spacing w:line="360" w:lineRule="auto"/>
        <w:ind w:firstLine="480" w:firstLineChars="200"/>
        <w:rPr>
          <w:rFonts w:hint="eastAsia" w:ascii="宋体" w:hAnsi="宋体"/>
          <w:sz w:val="24"/>
        </w:rPr>
      </w:pPr>
      <w:r>
        <w:rPr>
          <w:rFonts w:hint="eastAsia" w:ascii="宋体" w:hAnsi="宋体"/>
          <w:sz w:val="24"/>
        </w:rPr>
        <w:t>为了保证培训需求的有效满足，办公室会根据中、短期公司发展战略规划与《人力资源计划》，综合上述培训需求分析的结果，编制《年度培训计划表》，并提交总经理审批。</w:t>
      </w:r>
    </w:p>
    <w:p>
      <w:pPr>
        <w:numPr>
          <w:ilvl w:val="0"/>
          <w:numId w:val="4"/>
        </w:numPr>
        <w:spacing w:line="360" w:lineRule="auto"/>
        <w:rPr>
          <w:rFonts w:hint="eastAsia" w:ascii="宋体" w:hAnsi="宋体"/>
          <w:b/>
          <w:sz w:val="24"/>
        </w:rPr>
      </w:pPr>
      <w:r>
        <w:rPr>
          <w:rFonts w:hint="eastAsia" w:ascii="宋体" w:hAnsi="宋体"/>
          <w:b/>
          <w:sz w:val="24"/>
        </w:rPr>
        <w:t>培训计划实施</w:t>
      </w:r>
    </w:p>
    <w:p>
      <w:pPr>
        <w:spacing w:line="360" w:lineRule="auto"/>
        <w:ind w:firstLine="480" w:firstLineChars="200"/>
        <w:rPr>
          <w:rFonts w:hint="eastAsia" w:ascii="宋体" w:hAnsi="宋体"/>
          <w:sz w:val="24"/>
        </w:rPr>
      </w:pPr>
      <w:r>
        <w:rPr>
          <w:rFonts w:hint="eastAsia" w:ascii="宋体" w:hAnsi="宋体"/>
          <w:sz w:val="24"/>
        </w:rPr>
        <w:t>培训计划实施是整个培训体系中最重要的一环，也是达到预期培训目标的基本途径。公司为员工提供多种形式的个性化培训，主要包括入职培训、岗位培训、资质类培训、转岗培训、继续教育等。</w:t>
      </w:r>
    </w:p>
    <w:p>
      <w:pPr>
        <w:spacing w:line="360" w:lineRule="auto"/>
        <w:jc w:val="center"/>
        <w:rPr>
          <w:rFonts w:hint="eastAsia" w:ascii="宋体" w:hAnsi="宋体"/>
          <w:b/>
          <w:sz w:val="24"/>
        </w:rPr>
      </w:pPr>
      <w:r>
        <w:rPr>
          <w:rFonts w:hint="eastAsia" w:ascii="宋体" w:hAnsi="宋体"/>
          <w:b/>
          <w:sz w:val="24"/>
        </w:rPr>
        <w:t>图表-4  员工教育培训内容</w:t>
      </w:r>
    </w:p>
    <w:tbl>
      <w:tblPr>
        <w:tblStyle w:val="18"/>
        <w:tblpPr w:leftFromText="180" w:rightFromText="180" w:vertAnchor="text" w:horzAnchor="margin" w:tblpXSpec="center" w:tblpY="112"/>
        <w:tblW w:w="90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417"/>
        <w:gridCol w:w="1985"/>
        <w:gridCol w:w="2835"/>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743" w:type="dxa"/>
            <w:tcBorders>
              <w:bottom w:val="single" w:color="auto" w:sz="4" w:space="0"/>
            </w:tcBorders>
            <w:shd w:val="clear" w:color="auto" w:fill="FBE4D5"/>
            <w:noWrap w:val="0"/>
            <w:vAlign w:val="center"/>
          </w:tcPr>
          <w:p>
            <w:pPr>
              <w:jc w:val="center"/>
              <w:rPr>
                <w:rFonts w:hint="eastAsia" w:ascii="宋体" w:hAnsi="宋体"/>
                <w:b/>
                <w:bCs/>
                <w:szCs w:val="21"/>
              </w:rPr>
            </w:pPr>
            <w:r>
              <w:rPr>
                <w:rFonts w:hint="eastAsia" w:ascii="宋体" w:hAnsi="宋体"/>
                <w:b/>
                <w:bCs/>
                <w:szCs w:val="21"/>
              </w:rPr>
              <w:t>培训类别</w:t>
            </w:r>
          </w:p>
        </w:tc>
        <w:tc>
          <w:tcPr>
            <w:tcW w:w="1417" w:type="dxa"/>
            <w:shd w:val="clear" w:color="auto" w:fill="FBE4D5"/>
            <w:noWrap w:val="0"/>
            <w:vAlign w:val="center"/>
          </w:tcPr>
          <w:p>
            <w:pPr>
              <w:jc w:val="center"/>
              <w:rPr>
                <w:rFonts w:hint="eastAsia" w:ascii="宋体" w:hAnsi="宋体"/>
                <w:b/>
                <w:bCs/>
                <w:szCs w:val="21"/>
              </w:rPr>
            </w:pPr>
            <w:r>
              <w:rPr>
                <w:rFonts w:hint="eastAsia" w:ascii="宋体" w:hAnsi="宋体"/>
                <w:b/>
                <w:bCs/>
                <w:szCs w:val="21"/>
              </w:rPr>
              <w:t>培训</w:t>
            </w:r>
          </w:p>
          <w:p>
            <w:pPr>
              <w:jc w:val="center"/>
              <w:rPr>
                <w:rFonts w:hint="eastAsia" w:ascii="宋体" w:hAnsi="宋体"/>
                <w:b/>
                <w:bCs/>
                <w:szCs w:val="21"/>
              </w:rPr>
            </w:pPr>
            <w:r>
              <w:rPr>
                <w:rFonts w:hint="eastAsia" w:ascii="宋体" w:hAnsi="宋体"/>
                <w:b/>
                <w:bCs/>
                <w:szCs w:val="21"/>
              </w:rPr>
              <w:t>对象</w:t>
            </w:r>
          </w:p>
        </w:tc>
        <w:tc>
          <w:tcPr>
            <w:tcW w:w="1985" w:type="dxa"/>
            <w:shd w:val="clear" w:color="auto" w:fill="FBE4D5"/>
            <w:noWrap w:val="0"/>
            <w:vAlign w:val="center"/>
          </w:tcPr>
          <w:p>
            <w:pPr>
              <w:jc w:val="center"/>
              <w:rPr>
                <w:rFonts w:hint="eastAsia" w:ascii="宋体" w:hAnsi="宋体"/>
                <w:b/>
                <w:bCs/>
                <w:szCs w:val="21"/>
              </w:rPr>
            </w:pPr>
            <w:r>
              <w:rPr>
                <w:rFonts w:hint="eastAsia" w:ascii="宋体" w:hAnsi="宋体"/>
                <w:b/>
                <w:bCs/>
                <w:szCs w:val="21"/>
              </w:rPr>
              <w:t>培训目的</w:t>
            </w:r>
          </w:p>
        </w:tc>
        <w:tc>
          <w:tcPr>
            <w:tcW w:w="2835" w:type="dxa"/>
            <w:shd w:val="clear" w:color="auto" w:fill="FBE4D5"/>
            <w:noWrap w:val="0"/>
            <w:vAlign w:val="center"/>
          </w:tcPr>
          <w:p>
            <w:pPr>
              <w:jc w:val="center"/>
              <w:rPr>
                <w:rFonts w:hint="eastAsia" w:ascii="宋体" w:hAnsi="宋体"/>
                <w:b/>
                <w:bCs/>
                <w:szCs w:val="21"/>
              </w:rPr>
            </w:pPr>
            <w:r>
              <w:rPr>
                <w:rFonts w:hint="eastAsia" w:ascii="宋体" w:hAnsi="宋体"/>
                <w:b/>
                <w:bCs/>
                <w:szCs w:val="21"/>
              </w:rPr>
              <w:t>培训内容</w:t>
            </w:r>
          </w:p>
        </w:tc>
        <w:tc>
          <w:tcPr>
            <w:tcW w:w="2029" w:type="dxa"/>
            <w:shd w:val="clear" w:color="auto" w:fill="FBE4D5"/>
            <w:noWrap w:val="0"/>
            <w:vAlign w:val="center"/>
          </w:tcPr>
          <w:p>
            <w:pPr>
              <w:jc w:val="center"/>
              <w:rPr>
                <w:rFonts w:hint="eastAsia" w:ascii="宋体" w:hAnsi="宋体"/>
                <w:b/>
                <w:bCs/>
                <w:szCs w:val="21"/>
              </w:rPr>
            </w:pPr>
            <w:r>
              <w:rPr>
                <w:rFonts w:hint="eastAsia" w:ascii="宋体" w:hAnsi="宋体"/>
                <w:b/>
                <w:bCs/>
                <w:szCs w:val="21"/>
              </w:rPr>
              <w:t>培训方式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743" w:type="dxa"/>
            <w:shd w:val="clear" w:color="auto" w:fill="F2F2F2"/>
            <w:noWrap w:val="0"/>
            <w:vAlign w:val="center"/>
          </w:tcPr>
          <w:p>
            <w:pPr>
              <w:jc w:val="center"/>
              <w:rPr>
                <w:rFonts w:hint="eastAsia" w:ascii="宋体" w:hAnsi="宋体"/>
                <w:szCs w:val="21"/>
              </w:rPr>
            </w:pPr>
            <w:r>
              <w:rPr>
                <w:rFonts w:hint="eastAsia" w:ascii="宋体" w:hAnsi="宋体"/>
                <w:szCs w:val="21"/>
              </w:rPr>
              <w:t>入职培训</w:t>
            </w:r>
          </w:p>
        </w:tc>
        <w:tc>
          <w:tcPr>
            <w:tcW w:w="1417" w:type="dxa"/>
            <w:noWrap w:val="0"/>
            <w:vAlign w:val="center"/>
          </w:tcPr>
          <w:p>
            <w:pPr>
              <w:jc w:val="center"/>
              <w:rPr>
                <w:rFonts w:hint="eastAsia" w:ascii="宋体" w:hAnsi="宋体"/>
                <w:szCs w:val="21"/>
              </w:rPr>
            </w:pPr>
            <w:r>
              <w:rPr>
                <w:rFonts w:hint="eastAsia" w:ascii="宋体" w:hAnsi="宋体"/>
                <w:szCs w:val="21"/>
              </w:rPr>
              <w:t>新员工</w:t>
            </w:r>
          </w:p>
        </w:tc>
        <w:tc>
          <w:tcPr>
            <w:tcW w:w="1985" w:type="dxa"/>
            <w:noWrap w:val="0"/>
            <w:vAlign w:val="center"/>
          </w:tcPr>
          <w:p>
            <w:pPr>
              <w:rPr>
                <w:rFonts w:hint="eastAsia" w:ascii="宋体" w:hAnsi="宋体"/>
                <w:szCs w:val="21"/>
              </w:rPr>
            </w:pPr>
            <w:r>
              <w:rPr>
                <w:rFonts w:hint="eastAsia" w:ascii="宋体" w:hAnsi="宋体"/>
                <w:szCs w:val="21"/>
              </w:rPr>
              <w:t>了解企业文化，熟悉公司规章制度，提升质量意识，保障员工安全作业</w:t>
            </w:r>
          </w:p>
        </w:tc>
        <w:tc>
          <w:tcPr>
            <w:tcW w:w="2835" w:type="dxa"/>
            <w:noWrap w:val="0"/>
            <w:vAlign w:val="center"/>
          </w:tcPr>
          <w:p>
            <w:pPr>
              <w:rPr>
                <w:rFonts w:hint="eastAsia" w:ascii="宋体" w:hAnsi="宋体"/>
                <w:szCs w:val="21"/>
              </w:rPr>
            </w:pPr>
            <w:r>
              <w:rPr>
                <w:rFonts w:hint="eastAsia" w:ascii="宋体" w:hAnsi="宋体"/>
                <w:szCs w:val="21"/>
              </w:rPr>
              <w:t>企业文化、规章制度、安全法规、质量管理与环安管理意识、质量基础知识</w:t>
            </w:r>
          </w:p>
        </w:tc>
        <w:tc>
          <w:tcPr>
            <w:tcW w:w="2029" w:type="dxa"/>
            <w:noWrap w:val="0"/>
            <w:vAlign w:val="center"/>
          </w:tcPr>
          <w:p>
            <w:pPr>
              <w:rPr>
                <w:rFonts w:hint="eastAsia" w:ascii="宋体" w:hAnsi="宋体"/>
                <w:szCs w:val="21"/>
              </w:rPr>
            </w:pPr>
            <w:r>
              <w:rPr>
                <w:rFonts w:hint="eastAsia" w:ascii="宋体" w:hAnsi="宋体"/>
                <w:szCs w:val="21"/>
              </w:rPr>
              <w:t>课堂授课、视频、现场参观等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43" w:type="dxa"/>
            <w:vMerge w:val="restart"/>
            <w:shd w:val="clear" w:color="auto" w:fill="F2F2F2"/>
            <w:noWrap w:val="0"/>
            <w:vAlign w:val="center"/>
          </w:tcPr>
          <w:p>
            <w:pPr>
              <w:jc w:val="center"/>
              <w:rPr>
                <w:rFonts w:hint="eastAsia" w:ascii="宋体" w:hAnsi="宋体"/>
                <w:szCs w:val="21"/>
              </w:rPr>
            </w:pPr>
            <w:r>
              <w:rPr>
                <w:rFonts w:hint="eastAsia" w:ascii="宋体" w:hAnsi="宋体"/>
                <w:szCs w:val="21"/>
              </w:rPr>
              <w:t>岗位培训</w:t>
            </w:r>
          </w:p>
        </w:tc>
        <w:tc>
          <w:tcPr>
            <w:tcW w:w="1417" w:type="dxa"/>
            <w:noWrap w:val="0"/>
            <w:vAlign w:val="center"/>
          </w:tcPr>
          <w:p>
            <w:pPr>
              <w:jc w:val="center"/>
              <w:rPr>
                <w:rFonts w:hint="eastAsia" w:ascii="宋体" w:hAnsi="宋体"/>
                <w:szCs w:val="21"/>
              </w:rPr>
            </w:pPr>
            <w:r>
              <w:rPr>
                <w:rFonts w:hint="eastAsia" w:ascii="宋体" w:hAnsi="宋体"/>
                <w:szCs w:val="21"/>
              </w:rPr>
              <w:t>管理人员</w:t>
            </w:r>
          </w:p>
        </w:tc>
        <w:tc>
          <w:tcPr>
            <w:tcW w:w="1985" w:type="dxa"/>
            <w:noWrap w:val="0"/>
            <w:vAlign w:val="center"/>
          </w:tcPr>
          <w:p>
            <w:pPr>
              <w:rPr>
                <w:rFonts w:hint="eastAsia" w:ascii="宋体" w:hAnsi="宋体"/>
                <w:szCs w:val="21"/>
              </w:rPr>
            </w:pPr>
            <w:r>
              <w:rPr>
                <w:rFonts w:hint="eastAsia" w:ascii="宋体" w:hAnsi="宋体"/>
                <w:szCs w:val="21"/>
              </w:rPr>
              <w:t>培养个人综合能力，提升管理水平</w:t>
            </w:r>
          </w:p>
        </w:tc>
        <w:tc>
          <w:tcPr>
            <w:tcW w:w="2835" w:type="dxa"/>
            <w:noWrap w:val="0"/>
            <w:vAlign w:val="center"/>
          </w:tcPr>
          <w:p>
            <w:pPr>
              <w:rPr>
                <w:rFonts w:hint="eastAsia" w:ascii="宋体" w:hAnsi="宋体"/>
                <w:szCs w:val="21"/>
              </w:rPr>
            </w:pPr>
            <w:r>
              <w:rPr>
                <w:rFonts w:hint="eastAsia" w:ascii="宋体" w:hAnsi="宋体"/>
                <w:szCs w:val="21"/>
              </w:rPr>
              <w:t>通用知识、管理技能、综合素养等，课程</w:t>
            </w:r>
          </w:p>
        </w:tc>
        <w:tc>
          <w:tcPr>
            <w:tcW w:w="2029" w:type="dxa"/>
            <w:noWrap w:val="0"/>
            <w:vAlign w:val="center"/>
          </w:tcPr>
          <w:p>
            <w:pPr>
              <w:rPr>
                <w:rFonts w:hint="eastAsia" w:ascii="宋体" w:hAnsi="宋体"/>
                <w:szCs w:val="21"/>
              </w:rPr>
            </w:pPr>
            <w:r>
              <w:rPr>
                <w:rFonts w:hint="eastAsia" w:ascii="宋体" w:hAnsi="宋体"/>
                <w:szCs w:val="21"/>
              </w:rPr>
              <w:t>标杆企业参观，参加知名学者、教授相关讲座等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743" w:type="dxa"/>
            <w:vMerge w:val="continue"/>
            <w:shd w:val="clear" w:color="auto" w:fill="F2F2F2"/>
            <w:noWrap w:val="0"/>
            <w:vAlign w:val="center"/>
          </w:tcPr>
          <w:p>
            <w:pPr>
              <w:jc w:val="center"/>
              <w:rPr>
                <w:rFonts w:hint="eastAsia" w:ascii="宋体" w:hAnsi="宋体"/>
                <w:szCs w:val="21"/>
              </w:rPr>
            </w:pPr>
          </w:p>
        </w:tc>
        <w:tc>
          <w:tcPr>
            <w:tcW w:w="1417" w:type="dxa"/>
            <w:noWrap w:val="0"/>
            <w:vAlign w:val="center"/>
          </w:tcPr>
          <w:p>
            <w:pPr>
              <w:jc w:val="center"/>
              <w:rPr>
                <w:rFonts w:hint="eastAsia" w:ascii="宋体" w:hAnsi="宋体"/>
                <w:szCs w:val="21"/>
              </w:rPr>
            </w:pPr>
            <w:r>
              <w:rPr>
                <w:rFonts w:hint="eastAsia" w:ascii="宋体" w:hAnsi="宋体"/>
                <w:szCs w:val="21"/>
              </w:rPr>
              <w:t>专业技术人员</w:t>
            </w:r>
          </w:p>
        </w:tc>
        <w:tc>
          <w:tcPr>
            <w:tcW w:w="1985" w:type="dxa"/>
            <w:noWrap w:val="0"/>
            <w:vAlign w:val="center"/>
          </w:tcPr>
          <w:p>
            <w:pPr>
              <w:rPr>
                <w:rFonts w:hint="eastAsia" w:ascii="宋体" w:hAnsi="宋体"/>
                <w:szCs w:val="21"/>
              </w:rPr>
            </w:pPr>
            <w:r>
              <w:rPr>
                <w:rFonts w:hint="eastAsia" w:ascii="宋体" w:hAnsi="宋体"/>
                <w:szCs w:val="21"/>
              </w:rPr>
              <w:t>培养专业研发技术人员，掌握系统的专业技能</w:t>
            </w:r>
          </w:p>
        </w:tc>
        <w:tc>
          <w:tcPr>
            <w:tcW w:w="2835" w:type="dxa"/>
            <w:noWrap w:val="0"/>
            <w:vAlign w:val="center"/>
          </w:tcPr>
          <w:p>
            <w:pPr>
              <w:rPr>
                <w:rFonts w:hint="eastAsia" w:ascii="宋体" w:hAnsi="宋体"/>
                <w:szCs w:val="21"/>
              </w:rPr>
            </w:pPr>
            <w:r>
              <w:rPr>
                <w:rFonts w:hint="eastAsia" w:ascii="宋体" w:hAnsi="宋体"/>
                <w:szCs w:val="21"/>
              </w:rPr>
              <w:t>专业技能、专业技术</w:t>
            </w:r>
          </w:p>
        </w:tc>
        <w:tc>
          <w:tcPr>
            <w:tcW w:w="2029" w:type="dxa"/>
            <w:noWrap w:val="0"/>
            <w:vAlign w:val="center"/>
          </w:tcPr>
          <w:p>
            <w:pPr>
              <w:rPr>
                <w:rFonts w:hint="eastAsia" w:ascii="宋体" w:hAnsi="宋体"/>
                <w:szCs w:val="21"/>
              </w:rPr>
            </w:pPr>
            <w:r>
              <w:rPr>
                <w:rFonts w:hint="eastAsia" w:ascii="宋体" w:hAnsi="宋体"/>
                <w:szCs w:val="21"/>
              </w:rPr>
              <w:t>外出参加交流会、专业论坛等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43" w:type="dxa"/>
            <w:vMerge w:val="continue"/>
            <w:shd w:val="clear" w:color="auto" w:fill="F2F2F2"/>
            <w:noWrap w:val="0"/>
            <w:vAlign w:val="center"/>
          </w:tcPr>
          <w:p>
            <w:pPr>
              <w:jc w:val="center"/>
              <w:rPr>
                <w:rFonts w:hint="eastAsia" w:ascii="宋体" w:hAnsi="宋体"/>
                <w:szCs w:val="21"/>
              </w:rPr>
            </w:pPr>
          </w:p>
        </w:tc>
        <w:tc>
          <w:tcPr>
            <w:tcW w:w="1417" w:type="dxa"/>
            <w:noWrap w:val="0"/>
            <w:vAlign w:val="center"/>
          </w:tcPr>
          <w:p>
            <w:pPr>
              <w:jc w:val="center"/>
              <w:rPr>
                <w:rFonts w:hint="eastAsia" w:ascii="宋体" w:hAnsi="宋体"/>
                <w:szCs w:val="21"/>
              </w:rPr>
            </w:pPr>
            <w:r>
              <w:rPr>
                <w:rFonts w:hint="eastAsia" w:ascii="宋体" w:hAnsi="宋体"/>
                <w:szCs w:val="21"/>
              </w:rPr>
              <w:t>一线作业人员</w:t>
            </w:r>
          </w:p>
        </w:tc>
        <w:tc>
          <w:tcPr>
            <w:tcW w:w="1985" w:type="dxa"/>
            <w:noWrap w:val="0"/>
            <w:vAlign w:val="center"/>
          </w:tcPr>
          <w:p>
            <w:pPr>
              <w:rPr>
                <w:rFonts w:hint="eastAsia" w:ascii="宋体" w:hAnsi="宋体"/>
                <w:szCs w:val="21"/>
              </w:rPr>
            </w:pPr>
            <w:r>
              <w:rPr>
                <w:rFonts w:hint="eastAsia" w:ascii="宋体" w:hAnsi="宋体"/>
                <w:szCs w:val="21"/>
              </w:rPr>
              <w:t>熟练掌握岗位操作技能</w:t>
            </w:r>
          </w:p>
        </w:tc>
        <w:tc>
          <w:tcPr>
            <w:tcW w:w="2835" w:type="dxa"/>
            <w:noWrap w:val="0"/>
            <w:vAlign w:val="center"/>
          </w:tcPr>
          <w:p>
            <w:pPr>
              <w:rPr>
                <w:rFonts w:hint="eastAsia" w:ascii="宋体" w:hAnsi="宋体"/>
                <w:szCs w:val="21"/>
              </w:rPr>
            </w:pPr>
            <w:r>
              <w:rPr>
                <w:rFonts w:hint="eastAsia" w:ascii="宋体" w:hAnsi="宋体"/>
                <w:szCs w:val="21"/>
              </w:rPr>
              <w:t>岗位技能要求、工作标准及制度等</w:t>
            </w:r>
          </w:p>
        </w:tc>
        <w:tc>
          <w:tcPr>
            <w:tcW w:w="2029" w:type="dxa"/>
            <w:noWrap w:val="0"/>
            <w:vAlign w:val="center"/>
          </w:tcPr>
          <w:p>
            <w:pPr>
              <w:rPr>
                <w:rFonts w:hint="eastAsia" w:ascii="宋体" w:hAnsi="宋体"/>
                <w:szCs w:val="21"/>
              </w:rPr>
            </w:pPr>
            <w:r>
              <w:rPr>
                <w:rFonts w:hint="eastAsia" w:ascii="宋体" w:hAnsi="宋体"/>
                <w:szCs w:val="21"/>
              </w:rPr>
              <w:t>集中统一内训，老带新等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43" w:type="dxa"/>
            <w:vMerge w:val="restart"/>
            <w:shd w:val="clear" w:color="auto" w:fill="F2F2F2"/>
            <w:noWrap w:val="0"/>
            <w:vAlign w:val="center"/>
          </w:tcPr>
          <w:p>
            <w:pPr>
              <w:jc w:val="center"/>
              <w:rPr>
                <w:rFonts w:hint="eastAsia" w:ascii="宋体" w:hAnsi="宋体"/>
                <w:szCs w:val="21"/>
              </w:rPr>
            </w:pPr>
            <w:r>
              <w:rPr>
                <w:rFonts w:hint="eastAsia" w:ascii="宋体" w:hAnsi="宋体"/>
                <w:szCs w:val="21"/>
              </w:rPr>
              <w:t>资质类培训</w:t>
            </w:r>
          </w:p>
        </w:tc>
        <w:tc>
          <w:tcPr>
            <w:tcW w:w="1417" w:type="dxa"/>
            <w:noWrap w:val="0"/>
            <w:vAlign w:val="center"/>
          </w:tcPr>
          <w:p>
            <w:pPr>
              <w:rPr>
                <w:rFonts w:hint="eastAsia" w:ascii="宋体" w:hAnsi="宋体"/>
                <w:szCs w:val="21"/>
              </w:rPr>
            </w:pPr>
            <w:r>
              <w:rPr>
                <w:rFonts w:hint="eastAsia" w:ascii="宋体" w:hAnsi="宋体"/>
                <w:szCs w:val="21"/>
              </w:rPr>
              <w:t>关键岗位作业人员</w:t>
            </w:r>
          </w:p>
        </w:tc>
        <w:tc>
          <w:tcPr>
            <w:tcW w:w="1985" w:type="dxa"/>
            <w:noWrap w:val="0"/>
            <w:vAlign w:val="center"/>
          </w:tcPr>
          <w:p>
            <w:pPr>
              <w:rPr>
                <w:rFonts w:hint="eastAsia" w:ascii="宋体" w:hAnsi="宋体"/>
                <w:szCs w:val="21"/>
              </w:rPr>
            </w:pPr>
            <w:r>
              <w:rPr>
                <w:rFonts w:hint="eastAsia" w:ascii="宋体" w:hAnsi="宋体"/>
                <w:szCs w:val="21"/>
              </w:rPr>
              <w:t>保证关键岗位人员具备岗位技能要求并持证上岗</w:t>
            </w:r>
          </w:p>
        </w:tc>
        <w:tc>
          <w:tcPr>
            <w:tcW w:w="2835" w:type="dxa"/>
            <w:noWrap w:val="0"/>
            <w:vAlign w:val="center"/>
          </w:tcPr>
          <w:p>
            <w:pPr>
              <w:rPr>
                <w:rFonts w:hint="eastAsia" w:ascii="宋体" w:hAnsi="宋体"/>
                <w:szCs w:val="21"/>
              </w:rPr>
            </w:pPr>
            <w:r>
              <w:rPr>
                <w:rFonts w:hint="eastAsia" w:ascii="宋体" w:hAnsi="宋体"/>
                <w:szCs w:val="21"/>
              </w:rPr>
              <w:t>岗位专业技能及知识、工作标准</w:t>
            </w:r>
          </w:p>
        </w:tc>
        <w:tc>
          <w:tcPr>
            <w:tcW w:w="2029" w:type="dxa"/>
            <w:noWrap w:val="0"/>
            <w:vAlign w:val="center"/>
          </w:tcPr>
          <w:p>
            <w:pPr>
              <w:rPr>
                <w:rFonts w:hint="eastAsia" w:ascii="宋体" w:hAnsi="宋体"/>
                <w:szCs w:val="21"/>
              </w:rPr>
            </w:pPr>
            <w:r>
              <w:rPr>
                <w:rFonts w:hint="eastAsia" w:ascii="宋体" w:hAnsi="宋体"/>
                <w:szCs w:val="21"/>
              </w:rPr>
              <w:t>内训或外训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743" w:type="dxa"/>
            <w:vMerge w:val="continue"/>
            <w:tcBorders>
              <w:bottom w:val="single" w:color="auto" w:sz="4" w:space="0"/>
            </w:tcBorders>
            <w:shd w:val="clear" w:color="auto" w:fill="F2F2F2"/>
            <w:noWrap w:val="0"/>
            <w:vAlign w:val="center"/>
          </w:tcPr>
          <w:p>
            <w:pPr>
              <w:jc w:val="center"/>
              <w:rPr>
                <w:rFonts w:hint="eastAsia" w:ascii="宋体" w:hAnsi="宋体"/>
                <w:szCs w:val="21"/>
              </w:rPr>
            </w:pPr>
          </w:p>
        </w:tc>
        <w:tc>
          <w:tcPr>
            <w:tcW w:w="1417" w:type="dxa"/>
            <w:noWrap w:val="0"/>
            <w:vAlign w:val="center"/>
          </w:tcPr>
          <w:p>
            <w:pPr>
              <w:rPr>
                <w:rFonts w:hint="eastAsia" w:ascii="宋体" w:hAnsi="宋体"/>
                <w:szCs w:val="21"/>
              </w:rPr>
            </w:pPr>
            <w:r>
              <w:rPr>
                <w:rFonts w:hint="eastAsia" w:ascii="宋体" w:hAnsi="宋体"/>
                <w:szCs w:val="21"/>
              </w:rPr>
              <w:t>特种作业人员</w:t>
            </w:r>
          </w:p>
        </w:tc>
        <w:tc>
          <w:tcPr>
            <w:tcW w:w="1985" w:type="dxa"/>
            <w:noWrap w:val="0"/>
            <w:vAlign w:val="center"/>
          </w:tcPr>
          <w:p>
            <w:pPr>
              <w:rPr>
                <w:rFonts w:hint="eastAsia" w:ascii="宋体" w:hAnsi="宋体"/>
                <w:szCs w:val="21"/>
              </w:rPr>
            </w:pPr>
            <w:r>
              <w:rPr>
                <w:rFonts w:hint="eastAsia" w:ascii="宋体" w:hAnsi="宋体"/>
                <w:szCs w:val="21"/>
              </w:rPr>
              <w:t>保证国家规定的特种作业从业人员持证上岗</w:t>
            </w:r>
          </w:p>
        </w:tc>
        <w:tc>
          <w:tcPr>
            <w:tcW w:w="2835" w:type="dxa"/>
            <w:noWrap w:val="0"/>
            <w:vAlign w:val="center"/>
          </w:tcPr>
          <w:p>
            <w:pPr>
              <w:rPr>
                <w:rFonts w:hint="eastAsia" w:ascii="宋体" w:hAnsi="宋体"/>
                <w:szCs w:val="21"/>
              </w:rPr>
            </w:pPr>
            <w:r>
              <w:rPr>
                <w:rFonts w:hint="eastAsia" w:ascii="宋体" w:hAnsi="宋体"/>
                <w:szCs w:val="21"/>
              </w:rPr>
              <w:t>特种作业技能及相关法律法规等</w:t>
            </w:r>
          </w:p>
        </w:tc>
        <w:tc>
          <w:tcPr>
            <w:tcW w:w="2029" w:type="dxa"/>
            <w:noWrap w:val="0"/>
            <w:vAlign w:val="center"/>
          </w:tcPr>
          <w:p>
            <w:pPr>
              <w:rPr>
                <w:rFonts w:hint="eastAsia" w:ascii="宋体" w:hAnsi="宋体"/>
                <w:szCs w:val="21"/>
              </w:rPr>
            </w:pPr>
            <w:r>
              <w:rPr>
                <w:rFonts w:hint="eastAsia" w:ascii="宋体" w:hAnsi="宋体"/>
                <w:szCs w:val="21"/>
              </w:rPr>
              <w:t>参加相关具备资质的部门组织的短期脱产培训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743" w:type="dxa"/>
            <w:tcBorders>
              <w:bottom w:val="single" w:color="auto" w:sz="4" w:space="0"/>
            </w:tcBorders>
            <w:shd w:val="clear" w:color="auto" w:fill="F2F2F2"/>
            <w:noWrap w:val="0"/>
            <w:vAlign w:val="center"/>
          </w:tcPr>
          <w:p>
            <w:pPr>
              <w:jc w:val="center"/>
              <w:rPr>
                <w:rFonts w:hint="eastAsia" w:ascii="宋体" w:hAnsi="宋体"/>
                <w:szCs w:val="21"/>
              </w:rPr>
            </w:pPr>
            <w:r>
              <w:rPr>
                <w:rFonts w:hint="eastAsia" w:ascii="宋体" w:hAnsi="宋体"/>
                <w:szCs w:val="21"/>
              </w:rPr>
              <w:t>转岗培训</w:t>
            </w:r>
          </w:p>
        </w:tc>
        <w:tc>
          <w:tcPr>
            <w:tcW w:w="1417" w:type="dxa"/>
            <w:noWrap w:val="0"/>
            <w:vAlign w:val="center"/>
          </w:tcPr>
          <w:p>
            <w:pPr>
              <w:rPr>
                <w:rFonts w:hint="eastAsia" w:ascii="宋体" w:hAnsi="宋体"/>
                <w:szCs w:val="21"/>
              </w:rPr>
            </w:pPr>
            <w:r>
              <w:rPr>
                <w:rFonts w:hint="eastAsia" w:ascii="宋体" w:hAnsi="宋体"/>
                <w:szCs w:val="21"/>
              </w:rPr>
              <w:t>职务晋升人员</w:t>
            </w:r>
          </w:p>
          <w:p>
            <w:pPr>
              <w:rPr>
                <w:rFonts w:hint="eastAsia" w:ascii="宋体" w:hAnsi="宋体"/>
                <w:szCs w:val="21"/>
              </w:rPr>
            </w:pPr>
            <w:r>
              <w:rPr>
                <w:rFonts w:hint="eastAsia" w:ascii="宋体" w:hAnsi="宋体"/>
                <w:szCs w:val="21"/>
              </w:rPr>
              <w:t>一般转岗人员</w:t>
            </w:r>
          </w:p>
          <w:p>
            <w:pPr>
              <w:rPr>
                <w:rFonts w:hint="eastAsia" w:ascii="宋体" w:hAnsi="宋体"/>
                <w:szCs w:val="21"/>
              </w:rPr>
            </w:pPr>
            <w:r>
              <w:rPr>
                <w:rFonts w:hint="eastAsia" w:ascii="宋体" w:hAnsi="宋体"/>
                <w:szCs w:val="21"/>
              </w:rPr>
              <w:t>复职人员</w:t>
            </w:r>
          </w:p>
        </w:tc>
        <w:tc>
          <w:tcPr>
            <w:tcW w:w="1985" w:type="dxa"/>
            <w:noWrap w:val="0"/>
            <w:vAlign w:val="center"/>
          </w:tcPr>
          <w:p>
            <w:pPr>
              <w:rPr>
                <w:rFonts w:hint="eastAsia" w:ascii="宋体" w:hAnsi="宋体"/>
                <w:szCs w:val="21"/>
              </w:rPr>
            </w:pPr>
            <w:r>
              <w:rPr>
                <w:rFonts w:hint="eastAsia" w:ascii="宋体" w:hAnsi="宋体"/>
                <w:szCs w:val="21"/>
              </w:rPr>
              <w:t>达到新岗位技能要求</w:t>
            </w:r>
          </w:p>
        </w:tc>
        <w:tc>
          <w:tcPr>
            <w:tcW w:w="2835" w:type="dxa"/>
            <w:noWrap w:val="0"/>
            <w:vAlign w:val="center"/>
          </w:tcPr>
          <w:p>
            <w:pPr>
              <w:rPr>
                <w:rFonts w:hint="eastAsia" w:ascii="宋体" w:hAnsi="宋体"/>
                <w:szCs w:val="21"/>
              </w:rPr>
            </w:pPr>
            <w:r>
              <w:rPr>
                <w:rFonts w:hint="eastAsia" w:ascii="宋体" w:hAnsi="宋体"/>
                <w:szCs w:val="21"/>
              </w:rPr>
              <w:t>岗位专业技能、工作标准及制度等</w:t>
            </w:r>
          </w:p>
        </w:tc>
        <w:tc>
          <w:tcPr>
            <w:tcW w:w="2029" w:type="dxa"/>
            <w:noWrap w:val="0"/>
            <w:vAlign w:val="center"/>
          </w:tcPr>
          <w:p>
            <w:pPr>
              <w:rPr>
                <w:rFonts w:hint="eastAsia" w:ascii="宋体" w:hAnsi="宋体"/>
                <w:szCs w:val="21"/>
              </w:rPr>
            </w:pPr>
            <w:r>
              <w:rPr>
                <w:rFonts w:hint="eastAsia" w:ascii="宋体" w:hAnsi="宋体"/>
                <w:szCs w:val="21"/>
              </w:rPr>
              <w:t>内训或部门自行组织培训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743" w:type="dxa"/>
            <w:shd w:val="clear" w:color="auto" w:fill="F2F2F2"/>
            <w:noWrap w:val="0"/>
            <w:vAlign w:val="center"/>
          </w:tcPr>
          <w:p>
            <w:pPr>
              <w:jc w:val="center"/>
              <w:rPr>
                <w:rFonts w:hint="eastAsia" w:ascii="宋体" w:hAnsi="宋体"/>
                <w:szCs w:val="21"/>
              </w:rPr>
            </w:pPr>
            <w:r>
              <w:rPr>
                <w:rFonts w:hint="eastAsia" w:ascii="宋体" w:hAnsi="宋体"/>
                <w:szCs w:val="21"/>
              </w:rPr>
              <w:t>继续教育</w:t>
            </w:r>
          </w:p>
        </w:tc>
        <w:tc>
          <w:tcPr>
            <w:tcW w:w="1417" w:type="dxa"/>
            <w:noWrap w:val="0"/>
            <w:vAlign w:val="center"/>
          </w:tcPr>
          <w:p>
            <w:pPr>
              <w:rPr>
                <w:rFonts w:hint="eastAsia" w:ascii="宋体" w:hAnsi="宋体"/>
                <w:szCs w:val="21"/>
              </w:rPr>
            </w:pPr>
            <w:r>
              <w:rPr>
                <w:rFonts w:hint="eastAsia" w:ascii="宋体" w:hAnsi="宋体"/>
                <w:szCs w:val="21"/>
              </w:rPr>
              <w:t>重点培养人员、储备人才及其他好学人员</w:t>
            </w:r>
          </w:p>
        </w:tc>
        <w:tc>
          <w:tcPr>
            <w:tcW w:w="1985" w:type="dxa"/>
            <w:noWrap w:val="0"/>
            <w:vAlign w:val="center"/>
          </w:tcPr>
          <w:p>
            <w:pPr>
              <w:rPr>
                <w:rFonts w:hint="eastAsia" w:ascii="宋体" w:hAnsi="宋体"/>
                <w:szCs w:val="21"/>
              </w:rPr>
            </w:pPr>
            <w:r>
              <w:rPr>
                <w:rFonts w:hint="eastAsia" w:ascii="宋体" w:hAnsi="宋体"/>
                <w:szCs w:val="21"/>
              </w:rPr>
              <w:t>满足员工潜在发展需求</w:t>
            </w:r>
          </w:p>
        </w:tc>
        <w:tc>
          <w:tcPr>
            <w:tcW w:w="2835" w:type="dxa"/>
            <w:noWrap w:val="0"/>
            <w:vAlign w:val="center"/>
          </w:tcPr>
          <w:p>
            <w:pPr>
              <w:rPr>
                <w:rFonts w:hint="eastAsia" w:ascii="宋体" w:hAnsi="宋体"/>
                <w:szCs w:val="21"/>
              </w:rPr>
            </w:pPr>
            <w:r>
              <w:rPr>
                <w:rFonts w:hint="eastAsia" w:ascii="宋体" w:hAnsi="宋体"/>
                <w:szCs w:val="21"/>
              </w:rPr>
              <w:t>学历教育</w:t>
            </w:r>
          </w:p>
        </w:tc>
        <w:tc>
          <w:tcPr>
            <w:tcW w:w="2029" w:type="dxa"/>
            <w:noWrap w:val="0"/>
            <w:vAlign w:val="center"/>
          </w:tcPr>
          <w:p>
            <w:pPr>
              <w:rPr>
                <w:rFonts w:hint="eastAsia" w:ascii="宋体" w:hAnsi="宋体"/>
                <w:szCs w:val="21"/>
              </w:rPr>
            </w:pPr>
            <w:r>
              <w:rPr>
                <w:rFonts w:hint="eastAsia" w:ascii="宋体" w:hAnsi="宋体"/>
                <w:szCs w:val="21"/>
              </w:rPr>
              <w:t>远程教育、委托培养、自学等</w:t>
            </w:r>
          </w:p>
        </w:tc>
      </w:tr>
    </w:tbl>
    <w:p>
      <w:pPr>
        <w:autoSpaceDE w:val="0"/>
        <w:autoSpaceDN w:val="0"/>
        <w:spacing w:line="360" w:lineRule="auto"/>
        <w:ind w:firstLine="480" w:firstLineChars="200"/>
        <w:jc w:val="left"/>
        <w:rPr>
          <w:rFonts w:hint="eastAsia" w:ascii="宋体" w:hAnsi="宋体"/>
          <w:sz w:val="24"/>
        </w:rPr>
      </w:pPr>
      <w:r>
        <w:rPr>
          <w:rFonts w:hint="eastAsia" w:ascii="宋体" w:hAnsi="宋体"/>
          <w:sz w:val="24"/>
        </w:rPr>
        <w:t>培训责任部门（人员）在培训结束后进行小结，填写《</w:t>
      </w:r>
      <w:r>
        <w:rPr>
          <w:rFonts w:hint="eastAsia" w:ascii="宋体" w:hAnsi="宋体"/>
          <w:sz w:val="24"/>
          <w:szCs w:val="24"/>
        </w:rPr>
        <w:t>培训记录及评估</w:t>
      </w:r>
      <w:r>
        <w:rPr>
          <w:rFonts w:hint="eastAsia" w:ascii="宋体" w:hAnsi="宋体"/>
          <w:sz w:val="24"/>
        </w:rPr>
        <w:t>》，以了解学员对培训效果的评价，培训责任部门（人员）通过不同检验方式，判断培训是否达到预期效果，如小结评价、绩效考核评价、获得资质证书等。</w:t>
      </w:r>
    </w:p>
    <w:p>
      <w:pPr>
        <w:pStyle w:val="46"/>
        <w:spacing w:line="360" w:lineRule="auto"/>
        <w:rPr>
          <w:rFonts w:hint="eastAsia" w:ascii="宋体" w:hAnsi="宋体"/>
          <w:b/>
          <w:sz w:val="24"/>
          <w:szCs w:val="24"/>
        </w:rPr>
      </w:pPr>
      <w:r>
        <w:rPr>
          <w:rFonts w:hint="eastAsia" w:ascii="宋体" w:hAnsi="宋体"/>
          <w:b/>
          <w:sz w:val="24"/>
          <w:szCs w:val="24"/>
        </w:rPr>
        <w:t>2.3.2.2</w:t>
      </w:r>
      <w:r>
        <w:rPr>
          <w:rFonts w:ascii="宋体" w:hAnsi="宋体"/>
          <w:b/>
          <w:sz w:val="24"/>
          <w:szCs w:val="24"/>
        </w:rPr>
        <w:t>员工职业发展</w:t>
      </w:r>
    </w:p>
    <w:p>
      <w:pPr>
        <w:spacing w:line="360" w:lineRule="auto"/>
        <w:ind w:firstLine="437"/>
        <w:rPr>
          <w:rFonts w:hint="eastAsia" w:ascii="宋体" w:hAnsi="宋体"/>
          <w:sz w:val="24"/>
        </w:rPr>
      </w:pPr>
      <w:r>
        <w:rPr>
          <w:rFonts w:hint="eastAsia" w:ascii="宋体" w:hAnsi="宋体"/>
          <w:sz w:val="24"/>
        </w:rPr>
        <w:t>公司帮助员工设计职业生涯发展规划，为员工提供适当的教育、培训、轮岗和晋升等发展机会，满足员工的职业发展愿望，进而实现组织与员工的共同成长、共同受益。针对不同岗位，公司制定了不同的岗位晋升制度，如针对操作工的一线员工技能发展通道、针对管理、技术类岗位人才梯队建设等，除了专项人才发展计划外，公司还实行竞争上岗机制、部门内部和跨部门轮岗机制、应届毕业生后备人才储备计划等帮助员工实现学习和发展目标的方法。</w:t>
      </w:r>
    </w:p>
    <w:p>
      <w:pPr>
        <w:autoSpaceDE w:val="0"/>
        <w:autoSpaceDN w:val="0"/>
        <w:spacing w:line="360" w:lineRule="auto"/>
        <w:ind w:firstLine="437"/>
        <w:jc w:val="left"/>
        <w:rPr>
          <w:rFonts w:hint="eastAsia" w:ascii="宋体" w:hAnsi="宋体"/>
          <w:sz w:val="24"/>
        </w:rPr>
      </w:pPr>
      <w:r>
        <w:rPr>
          <w:rFonts w:hint="eastAsia" w:ascii="宋体" w:hAnsi="宋体"/>
          <w:sz w:val="24"/>
        </w:rPr>
        <w:t>为实现公司人力资源战略目标与员工职业生涯规划同步，公司根据不同的职系设立不同的岗位发展路径，多层次的职业发展通道为员工提供了岗位晋升、跨部门轮岗等机会，有效激发了员工工作的主动性和创新性。</w:t>
      </w:r>
    </w:p>
    <w:p>
      <w:pPr>
        <w:autoSpaceDE w:val="0"/>
        <w:autoSpaceDN w:val="0"/>
        <w:spacing w:line="360" w:lineRule="auto"/>
        <w:jc w:val="center"/>
        <w:rPr>
          <w:rFonts w:hint="eastAsia" w:ascii="宋体" w:hAnsi="宋体"/>
          <w:b/>
          <w:sz w:val="24"/>
        </w:rPr>
      </w:pPr>
    </w:p>
    <w:p>
      <w:pPr>
        <w:spacing w:line="360" w:lineRule="auto"/>
        <w:rPr>
          <w:rFonts w:hint="eastAsia" w:ascii="宋体" w:hAnsi="宋体"/>
          <w:b/>
          <w:sz w:val="24"/>
        </w:rPr>
      </w:pPr>
      <w:r>
        <w:rPr>
          <w:rFonts w:hint="eastAsia" w:ascii="宋体" w:hAnsi="宋体"/>
          <w:b/>
          <w:sz w:val="24"/>
        </w:rPr>
        <w:t>2.3.3职业健康与安全</w:t>
      </w:r>
    </w:p>
    <w:p>
      <w:pPr>
        <w:spacing w:line="360" w:lineRule="auto"/>
        <w:ind w:firstLine="480" w:firstLineChars="200"/>
        <w:rPr>
          <w:rFonts w:hint="eastAsia" w:ascii="宋体" w:hAnsi="宋体"/>
          <w:sz w:val="24"/>
        </w:rPr>
      </w:pPr>
      <w:r>
        <w:rPr>
          <w:rFonts w:hint="eastAsia" w:ascii="宋体" w:hAnsi="宋体"/>
          <w:sz w:val="24"/>
        </w:rPr>
        <w:t>公司坚持“预防为主，防治结合”的职业病防治方针，建立了完善的职业健康安全管理体系并通过认证，获得《职业健康安全管理体系认证证书》。公司积极开展职业安全健康教育，从源头上控制和消除职业病危害。对于体检中发现患有职业禁忌症的职工及时调离存在相应职业病危害的岗位。公司坚持“安全第一、预防为主、综合治理”的安全管理方针，建立以公司董事长为总负责人的安全管理体系，细化安全生产标准化，推进风险分级管控，着力构建全员参与、全面覆盖的安全责任体系，促进公司安全监管到位。公司秉持“安全无小事”的工作态度，认真做好安全隐患的排查整治，在人员、岗位、时间、空间上逐一排查，及时发现问题、消除隐患。公司加大对安全生产的投入，并在生产办公区域张贴警示标语、紧急事故的抢救办法和逃生路线，配备了抢救用设备，如消防器材、紧急医用箱等。</w:t>
      </w:r>
    </w:p>
    <w:p>
      <w:pPr>
        <w:spacing w:line="360" w:lineRule="auto"/>
        <w:jc w:val="center"/>
        <w:rPr>
          <w:rFonts w:hint="eastAsia" w:ascii="宋体" w:hAnsi="宋体"/>
          <w:b/>
          <w:sz w:val="24"/>
        </w:rPr>
      </w:pPr>
      <w:r>
        <w:rPr>
          <w:rFonts w:hint="eastAsia" w:ascii="宋体" w:hAnsi="宋体"/>
          <w:b/>
          <w:sz w:val="24"/>
        </w:rPr>
        <w:t>图表-7  职业健康影响因素测量内容、指标及控制措施</w:t>
      </w:r>
    </w:p>
    <w:tbl>
      <w:tblPr>
        <w:tblStyle w:val="18"/>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8"/>
        <w:gridCol w:w="1508"/>
        <w:gridCol w:w="3062"/>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258" w:type="dxa"/>
            <w:tcBorders>
              <w:bottom w:val="single" w:color="auto" w:sz="4" w:space="0"/>
            </w:tcBorders>
            <w:shd w:val="clear" w:color="auto" w:fill="FBE4D5"/>
            <w:noWrap w:val="0"/>
            <w:vAlign w:val="center"/>
          </w:tcPr>
          <w:p>
            <w:pPr>
              <w:spacing w:line="360" w:lineRule="auto"/>
              <w:jc w:val="center"/>
              <w:rPr>
                <w:rFonts w:hint="eastAsia" w:ascii="宋体" w:hAnsi="宋体"/>
                <w:b/>
                <w:bCs/>
                <w:szCs w:val="21"/>
              </w:rPr>
            </w:pPr>
            <w:r>
              <w:rPr>
                <w:rFonts w:hint="eastAsia" w:ascii="宋体" w:hAnsi="宋体"/>
                <w:b/>
                <w:bCs/>
                <w:szCs w:val="21"/>
              </w:rPr>
              <w:t>工作场所</w:t>
            </w:r>
          </w:p>
        </w:tc>
        <w:tc>
          <w:tcPr>
            <w:tcW w:w="1508" w:type="dxa"/>
            <w:shd w:val="clear" w:color="auto" w:fill="FBE4D5"/>
            <w:noWrap w:val="0"/>
            <w:vAlign w:val="center"/>
          </w:tcPr>
          <w:p>
            <w:pPr>
              <w:spacing w:line="360" w:lineRule="auto"/>
              <w:jc w:val="center"/>
              <w:rPr>
                <w:rFonts w:hint="eastAsia" w:ascii="宋体" w:hAnsi="宋体"/>
                <w:b/>
                <w:bCs/>
                <w:szCs w:val="21"/>
              </w:rPr>
            </w:pPr>
            <w:r>
              <w:rPr>
                <w:rFonts w:hint="eastAsia" w:ascii="宋体" w:hAnsi="宋体"/>
                <w:b/>
                <w:bCs/>
                <w:szCs w:val="21"/>
              </w:rPr>
              <w:t>危险源</w:t>
            </w:r>
          </w:p>
        </w:tc>
        <w:tc>
          <w:tcPr>
            <w:tcW w:w="3062" w:type="dxa"/>
            <w:shd w:val="clear" w:color="auto" w:fill="FBE4D5"/>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rPr>
              <w:t>测量标准</w:t>
            </w:r>
            <w:r>
              <w:rPr>
                <w:rFonts w:hint="eastAsia" w:ascii="宋体" w:hAnsi="宋体"/>
                <w:b/>
                <w:bCs/>
                <w:szCs w:val="21"/>
                <w:lang w:eastAsia="zh-CN"/>
              </w:rPr>
              <w:t>（昼间）</w:t>
            </w:r>
          </w:p>
        </w:tc>
        <w:tc>
          <w:tcPr>
            <w:tcW w:w="2120" w:type="dxa"/>
            <w:shd w:val="clear" w:color="auto" w:fill="FBE4D5"/>
            <w:noWrap w:val="0"/>
            <w:vAlign w:val="center"/>
          </w:tcPr>
          <w:p>
            <w:pPr>
              <w:spacing w:line="360" w:lineRule="auto"/>
              <w:jc w:val="center"/>
              <w:rPr>
                <w:rFonts w:hint="eastAsia" w:ascii="宋体" w:hAnsi="宋体"/>
                <w:b/>
                <w:bCs/>
                <w:szCs w:val="21"/>
              </w:rPr>
            </w:pPr>
            <w:r>
              <w:rPr>
                <w:rFonts w:hint="eastAsia" w:ascii="宋体" w:hAnsi="宋体"/>
                <w:b/>
                <w:bCs/>
                <w:szCs w:val="21"/>
              </w:rPr>
              <w:t>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258" w:type="dxa"/>
            <w:shd w:val="clear" w:color="auto" w:fill="F2F2F2"/>
            <w:noWrap w:val="0"/>
            <w:vAlign w:val="center"/>
          </w:tcPr>
          <w:p>
            <w:pPr>
              <w:jc w:val="center"/>
              <w:rPr>
                <w:rFonts w:hint="eastAsia" w:ascii="宋体" w:hAnsi="宋体"/>
                <w:szCs w:val="21"/>
              </w:rPr>
            </w:pPr>
            <w:r>
              <w:rPr>
                <w:rFonts w:hint="eastAsia" w:ascii="宋体" w:hAnsi="宋体"/>
                <w:bCs/>
                <w:sz w:val="21"/>
                <w:szCs w:val="21"/>
              </w:rPr>
              <w:t>Ⅲ类（</w:t>
            </w:r>
            <w:r>
              <w:rPr>
                <w:rFonts w:hint="eastAsia" w:ascii="宋体" w:hAnsi="宋体"/>
                <w:bCs/>
                <w:sz w:val="21"/>
                <w:szCs w:val="21"/>
                <w:lang w:eastAsia="zh-CN"/>
              </w:rPr>
              <w:t>公司</w:t>
            </w:r>
            <w:r>
              <w:rPr>
                <w:rFonts w:hint="eastAsia" w:ascii="宋体" w:hAnsi="宋体"/>
                <w:bCs/>
                <w:sz w:val="21"/>
                <w:szCs w:val="21"/>
              </w:rPr>
              <w:t>东侧、南侧和北侧）</w:t>
            </w:r>
          </w:p>
        </w:tc>
        <w:tc>
          <w:tcPr>
            <w:tcW w:w="1508" w:type="dxa"/>
            <w:noWrap w:val="0"/>
            <w:vAlign w:val="center"/>
          </w:tcPr>
          <w:p>
            <w:pPr>
              <w:jc w:val="center"/>
              <w:rPr>
                <w:rFonts w:hint="eastAsia" w:ascii="宋体" w:hAnsi="宋体"/>
                <w:szCs w:val="21"/>
              </w:rPr>
            </w:pPr>
            <w:r>
              <w:rPr>
                <w:rFonts w:hint="eastAsia" w:ascii="宋体" w:hAnsi="宋体"/>
                <w:szCs w:val="21"/>
              </w:rPr>
              <w:t>噪声</w:t>
            </w:r>
          </w:p>
        </w:tc>
        <w:tc>
          <w:tcPr>
            <w:tcW w:w="3062" w:type="dxa"/>
            <w:noWrap w:val="0"/>
            <w:vAlign w:val="center"/>
          </w:tcPr>
          <w:p>
            <w:pPr>
              <w:jc w:val="center"/>
              <w:rPr>
                <w:rFonts w:hint="eastAsia" w:ascii="宋体" w:hAnsi="宋体"/>
                <w:szCs w:val="21"/>
              </w:rPr>
            </w:pPr>
            <w:r>
              <w:rPr>
                <w:rFonts w:hint="eastAsia" w:ascii="宋体" w:hAnsi="宋体"/>
                <w:szCs w:val="21"/>
              </w:rPr>
              <w:t>噪声小于</w:t>
            </w:r>
            <w:r>
              <w:rPr>
                <w:rFonts w:hint="eastAsia" w:ascii="宋体" w:hAnsi="宋体"/>
                <w:szCs w:val="21"/>
                <w:lang w:val="en-US" w:eastAsia="zh-CN"/>
              </w:rPr>
              <w:t>6</w:t>
            </w:r>
            <w:r>
              <w:rPr>
                <w:rFonts w:hint="eastAsia" w:ascii="宋体" w:hAnsi="宋体"/>
                <w:szCs w:val="21"/>
              </w:rPr>
              <w:t>5分贝</w:t>
            </w:r>
          </w:p>
        </w:tc>
        <w:tc>
          <w:tcPr>
            <w:tcW w:w="2120" w:type="dxa"/>
            <w:vMerge w:val="restart"/>
            <w:noWrap w:val="0"/>
            <w:vAlign w:val="center"/>
          </w:tcPr>
          <w:p>
            <w:pPr>
              <w:jc w:val="center"/>
              <w:rPr>
                <w:rFonts w:hint="eastAsia" w:ascii="宋体" w:hAnsi="宋体"/>
                <w:szCs w:val="21"/>
              </w:rPr>
            </w:pPr>
            <w:r>
              <w:rPr>
                <w:rFonts w:hint="eastAsia" w:ascii="宋体" w:hAnsi="宋体"/>
                <w:bCs/>
                <w:szCs w:val="24"/>
              </w:rPr>
              <w:t>隔声防震</w:t>
            </w:r>
            <w:r>
              <w:rPr>
                <w:rFonts w:hint="eastAsia" w:ascii="宋体" w:hAnsi="宋体"/>
                <w:bCs/>
                <w:szCs w:val="24"/>
                <w:lang w:eastAsia="zh-CN"/>
              </w:rPr>
              <w:t>措施</w:t>
            </w:r>
          </w:p>
          <w:p>
            <w:pPr>
              <w:jc w:val="center"/>
              <w:rPr>
                <w:rFonts w:hint="eastAsia" w:ascii="宋体" w:hAnsi="宋体"/>
                <w:szCs w:val="21"/>
              </w:rPr>
            </w:pPr>
            <w:r>
              <w:rPr>
                <w:rFonts w:hint="eastAsia" w:ascii="宋体" w:hAnsi="宋体"/>
                <w:szCs w:val="21"/>
              </w:rPr>
              <w:t>佩戴耳罩</w:t>
            </w:r>
          </w:p>
          <w:p>
            <w:pPr>
              <w:jc w:val="center"/>
              <w:rPr>
                <w:rFonts w:hint="eastAsia" w:ascii="宋体" w:hAnsi="宋体" w:eastAsia="宋体"/>
                <w:szCs w:val="21"/>
                <w:lang w:val="en-US" w:eastAsia="zh-CN"/>
              </w:rPr>
            </w:pPr>
            <w:r>
              <w:rPr>
                <w:rFonts w:hint="eastAsia" w:ascii="宋体" w:hAnsi="宋体"/>
                <w:szCs w:val="21"/>
                <w:lang w:eastAsia="zh-CN"/>
              </w:rPr>
              <w:t>定期监测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258" w:type="dxa"/>
            <w:shd w:val="clear" w:color="auto" w:fill="F2F2F2"/>
            <w:noWrap w:val="0"/>
            <w:vAlign w:val="center"/>
          </w:tcPr>
          <w:p>
            <w:pPr>
              <w:jc w:val="center"/>
              <w:rPr>
                <w:rFonts w:hint="eastAsia" w:ascii="宋体" w:hAnsi="宋体"/>
                <w:szCs w:val="21"/>
              </w:rPr>
            </w:pPr>
            <w:r>
              <w:rPr>
                <w:rFonts w:hint="eastAsia" w:ascii="宋体" w:hAnsi="宋体"/>
                <w:bCs/>
                <w:sz w:val="21"/>
                <w:szCs w:val="21"/>
              </w:rPr>
              <w:t>Ⅳ类（</w:t>
            </w:r>
            <w:r>
              <w:rPr>
                <w:rFonts w:hint="eastAsia" w:ascii="宋体" w:hAnsi="宋体"/>
                <w:bCs/>
                <w:sz w:val="21"/>
                <w:szCs w:val="21"/>
                <w:lang w:eastAsia="zh-CN"/>
              </w:rPr>
              <w:t>公司</w:t>
            </w:r>
            <w:r>
              <w:rPr>
                <w:rFonts w:hint="eastAsia" w:ascii="宋体" w:hAnsi="宋体"/>
                <w:bCs/>
                <w:sz w:val="21"/>
                <w:szCs w:val="21"/>
              </w:rPr>
              <w:t>西侧）</w:t>
            </w:r>
          </w:p>
        </w:tc>
        <w:tc>
          <w:tcPr>
            <w:tcW w:w="1508" w:type="dxa"/>
            <w:noWrap w:val="0"/>
            <w:vAlign w:val="center"/>
          </w:tcPr>
          <w:p>
            <w:pPr>
              <w:jc w:val="center"/>
              <w:rPr>
                <w:rFonts w:hint="eastAsia" w:ascii="宋体" w:hAnsi="宋体"/>
                <w:szCs w:val="21"/>
              </w:rPr>
            </w:pPr>
            <w:r>
              <w:rPr>
                <w:rFonts w:hint="eastAsia" w:ascii="宋体" w:hAnsi="宋体"/>
                <w:szCs w:val="21"/>
              </w:rPr>
              <w:t>噪声</w:t>
            </w:r>
          </w:p>
        </w:tc>
        <w:tc>
          <w:tcPr>
            <w:tcW w:w="3062" w:type="dxa"/>
            <w:noWrap w:val="0"/>
            <w:vAlign w:val="center"/>
          </w:tcPr>
          <w:p>
            <w:pPr>
              <w:jc w:val="center"/>
              <w:rPr>
                <w:rFonts w:hint="eastAsia" w:ascii="宋体" w:hAnsi="宋体" w:eastAsia="宋体"/>
                <w:szCs w:val="21"/>
                <w:lang w:val="en-US" w:eastAsia="zh-CN"/>
              </w:rPr>
            </w:pPr>
            <w:r>
              <w:rPr>
                <w:rFonts w:hint="eastAsia" w:ascii="宋体" w:hAnsi="宋体"/>
                <w:szCs w:val="21"/>
              </w:rPr>
              <w:t>噪声小于7</w:t>
            </w:r>
            <w:r>
              <w:rPr>
                <w:rFonts w:hint="eastAsia" w:ascii="宋体" w:hAnsi="宋体"/>
                <w:szCs w:val="21"/>
                <w:lang w:val="en-US" w:eastAsia="zh-CN"/>
              </w:rPr>
              <w:t>0</w:t>
            </w:r>
          </w:p>
        </w:tc>
        <w:tc>
          <w:tcPr>
            <w:tcW w:w="2120" w:type="dxa"/>
            <w:vMerge w:val="continue"/>
            <w:noWrap w:val="0"/>
            <w:vAlign w:val="center"/>
          </w:tcPr>
          <w:p>
            <w:pPr>
              <w:jc w:val="center"/>
              <w:rPr>
                <w:rFonts w:hint="eastAsia" w:ascii="宋体" w:hAnsi="宋体"/>
                <w:szCs w:val="21"/>
              </w:rPr>
            </w:pPr>
          </w:p>
        </w:tc>
      </w:tr>
    </w:tbl>
    <w:p>
      <w:pPr>
        <w:rPr>
          <w:rFonts w:hint="eastAsia" w:ascii="宋体" w:hAnsi="宋体"/>
          <w:b/>
          <w:sz w:val="24"/>
          <w:szCs w:val="32"/>
        </w:rPr>
      </w:pPr>
    </w:p>
    <w:p>
      <w:pPr>
        <w:spacing w:line="360" w:lineRule="auto"/>
        <w:rPr>
          <w:rFonts w:ascii="宋体" w:hAnsi="宋体"/>
          <w:b/>
          <w:sz w:val="24"/>
        </w:rPr>
      </w:pPr>
      <w:r>
        <w:rPr>
          <w:rFonts w:hint="eastAsia" w:ascii="宋体" w:hAnsi="宋体"/>
          <w:b/>
          <w:sz w:val="24"/>
        </w:rPr>
        <w:t>2.3.4 员工权益与关爱</w:t>
      </w:r>
    </w:p>
    <w:p>
      <w:pPr>
        <w:pStyle w:val="15"/>
        <w:shd w:val="clear" w:color="auto" w:fill="FFFFFF"/>
        <w:spacing w:before="0" w:beforeAutospacing="0" w:after="0" w:afterAutospacing="0" w:line="360" w:lineRule="auto"/>
        <w:ind w:firstLine="480" w:firstLineChars="200"/>
        <w:textAlignment w:val="baseline"/>
        <w:rPr>
          <w:rFonts w:hint="eastAsia"/>
          <w:b/>
        </w:rPr>
      </w:pPr>
      <w:r>
        <w:rPr>
          <w:rFonts w:hint="eastAsia"/>
        </w:rPr>
        <w:t>公司自成立以来，伴随发展壮大，结合公司实际，努力为员工提供不同层次个性化需求的支持。</w:t>
      </w:r>
    </w:p>
    <w:p>
      <w:pPr>
        <w:spacing w:line="360" w:lineRule="auto"/>
        <w:jc w:val="center"/>
        <w:rPr>
          <w:rFonts w:ascii="宋体" w:hAnsi="宋体"/>
          <w:b/>
          <w:color w:val="000000"/>
          <w:kern w:val="0"/>
          <w:sz w:val="24"/>
        </w:rPr>
      </w:pPr>
      <w:r>
        <w:rPr>
          <w:rFonts w:hint="eastAsia" w:ascii="宋体" w:hAnsi="宋体"/>
          <w:b/>
          <w:color w:val="000000"/>
          <w:kern w:val="0"/>
          <w:sz w:val="24"/>
        </w:rPr>
        <w:t>图表-8  员工针对性、个性化支持</w:t>
      </w:r>
    </w:p>
    <w:tbl>
      <w:tblPr>
        <w:tblStyle w:val="18"/>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2104"/>
        <w:gridCol w:w="5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0" w:type="dxa"/>
            <w:shd w:val="clear" w:color="auto" w:fill="FBE4D5"/>
            <w:noWrap w:val="0"/>
            <w:vAlign w:val="top"/>
          </w:tcPr>
          <w:p>
            <w:pPr>
              <w:rPr>
                <w:rFonts w:ascii="宋体" w:hAnsi="宋体"/>
                <w:b/>
                <w:color w:val="000000"/>
                <w:szCs w:val="21"/>
              </w:rPr>
            </w:pPr>
            <w:r>
              <w:rPr>
                <w:rFonts w:hint="eastAsia" w:ascii="宋体" w:hAnsi="宋体"/>
                <w:b/>
                <w:color w:val="000000"/>
                <w:szCs w:val="21"/>
              </w:rPr>
              <w:t>人员类别</w:t>
            </w:r>
          </w:p>
        </w:tc>
        <w:tc>
          <w:tcPr>
            <w:tcW w:w="2104" w:type="dxa"/>
            <w:shd w:val="clear" w:color="auto" w:fill="FBE4D5"/>
            <w:noWrap w:val="0"/>
            <w:vAlign w:val="top"/>
          </w:tcPr>
          <w:p>
            <w:pPr>
              <w:ind w:firstLine="422" w:firstLineChars="200"/>
              <w:rPr>
                <w:rFonts w:ascii="宋体" w:hAnsi="宋体"/>
                <w:b/>
                <w:color w:val="000000"/>
                <w:szCs w:val="21"/>
              </w:rPr>
            </w:pPr>
            <w:r>
              <w:rPr>
                <w:rFonts w:hint="eastAsia" w:ascii="宋体" w:hAnsi="宋体"/>
                <w:b/>
                <w:color w:val="000000"/>
                <w:szCs w:val="21"/>
              </w:rPr>
              <w:t>关键因素</w:t>
            </w:r>
          </w:p>
        </w:tc>
        <w:tc>
          <w:tcPr>
            <w:tcW w:w="5582" w:type="dxa"/>
            <w:shd w:val="clear" w:color="auto" w:fill="FBE4D5"/>
            <w:noWrap w:val="0"/>
            <w:vAlign w:val="top"/>
          </w:tcPr>
          <w:p>
            <w:pPr>
              <w:ind w:firstLine="2003" w:firstLineChars="950"/>
              <w:rPr>
                <w:rFonts w:ascii="宋体" w:hAnsi="宋体"/>
                <w:b/>
                <w:color w:val="000000"/>
                <w:szCs w:val="21"/>
              </w:rPr>
            </w:pPr>
            <w:r>
              <w:rPr>
                <w:rFonts w:hint="eastAsia" w:ascii="宋体" w:hAnsi="宋体"/>
                <w:b/>
                <w:color w:val="000000"/>
                <w:szCs w:val="21"/>
              </w:rPr>
              <w:t>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0" w:type="dxa"/>
            <w:vMerge w:val="restart"/>
            <w:noWrap w:val="0"/>
            <w:vAlign w:val="center"/>
          </w:tcPr>
          <w:p>
            <w:pPr>
              <w:rPr>
                <w:rFonts w:ascii="宋体" w:hAnsi="宋体"/>
                <w:color w:val="000000"/>
                <w:szCs w:val="21"/>
              </w:rPr>
            </w:pPr>
            <w:r>
              <w:rPr>
                <w:rFonts w:hint="eastAsia" w:ascii="宋体" w:hAnsi="宋体"/>
                <w:color w:val="000000"/>
                <w:szCs w:val="21"/>
              </w:rPr>
              <w:t>中高级管理人员</w:t>
            </w:r>
          </w:p>
        </w:tc>
        <w:tc>
          <w:tcPr>
            <w:tcW w:w="2104" w:type="dxa"/>
            <w:noWrap w:val="0"/>
            <w:vAlign w:val="center"/>
          </w:tcPr>
          <w:p>
            <w:pPr>
              <w:rPr>
                <w:rFonts w:ascii="宋体" w:hAnsi="宋体"/>
                <w:color w:val="000000"/>
                <w:szCs w:val="21"/>
              </w:rPr>
            </w:pPr>
            <w:r>
              <w:rPr>
                <w:rFonts w:hint="eastAsia" w:ascii="宋体" w:hAnsi="宋体"/>
                <w:color w:val="000000"/>
                <w:szCs w:val="21"/>
              </w:rPr>
              <w:t>事业与家庭的平衡</w:t>
            </w:r>
          </w:p>
        </w:tc>
        <w:tc>
          <w:tcPr>
            <w:tcW w:w="5582" w:type="dxa"/>
            <w:noWrap w:val="0"/>
            <w:vAlign w:val="center"/>
          </w:tcPr>
          <w:p>
            <w:pPr>
              <w:rPr>
                <w:rFonts w:ascii="宋体" w:hAnsi="宋体"/>
                <w:color w:val="000000"/>
                <w:szCs w:val="21"/>
              </w:rPr>
            </w:pPr>
            <w:r>
              <w:rPr>
                <w:rFonts w:hint="eastAsia" w:ascii="宋体" w:hAnsi="宋体"/>
                <w:color w:val="000000"/>
                <w:szCs w:val="21"/>
              </w:rPr>
              <w:t>实施《福利及奖励制度》、《人力资源管理制度》中涉及的节假日带薪休假、婚嫁、产假、护理假及丧假等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1270" w:type="dxa"/>
            <w:vMerge w:val="continue"/>
            <w:noWrap w:val="0"/>
            <w:vAlign w:val="center"/>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薪资福利</w:t>
            </w:r>
          </w:p>
        </w:tc>
        <w:tc>
          <w:tcPr>
            <w:tcW w:w="5582" w:type="dxa"/>
            <w:noWrap w:val="0"/>
            <w:vAlign w:val="center"/>
          </w:tcPr>
          <w:p>
            <w:pPr>
              <w:rPr>
                <w:rFonts w:ascii="宋体" w:hAnsi="宋体"/>
                <w:color w:val="000000"/>
                <w:szCs w:val="21"/>
              </w:rPr>
            </w:pPr>
            <w:r>
              <w:rPr>
                <w:rFonts w:hint="eastAsia" w:ascii="宋体" w:hAnsi="宋体"/>
                <w:color w:val="000000"/>
                <w:szCs w:val="21"/>
              </w:rPr>
              <w:t>五险一金、年终奖、各类节日福利、</w:t>
            </w:r>
            <w:r>
              <w:rPr>
                <w:rFonts w:hint="eastAsia" w:ascii="宋体" w:hAnsi="宋体"/>
                <w:color w:val="000000"/>
                <w:szCs w:val="21"/>
                <w:lang w:eastAsia="zh-CN"/>
              </w:rPr>
              <w:t>通讯</w:t>
            </w:r>
            <w:r>
              <w:rPr>
                <w:rFonts w:hint="eastAsia" w:ascii="宋体" w:hAnsi="宋体"/>
                <w:color w:val="000000"/>
                <w:szCs w:val="21"/>
              </w:rPr>
              <w:t>补贴等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1270" w:type="dxa"/>
            <w:vMerge w:val="continue"/>
            <w:noWrap w:val="0"/>
            <w:vAlign w:val="center"/>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权力与授权</w:t>
            </w:r>
          </w:p>
        </w:tc>
        <w:tc>
          <w:tcPr>
            <w:tcW w:w="5582" w:type="dxa"/>
            <w:noWrap w:val="0"/>
            <w:vAlign w:val="center"/>
          </w:tcPr>
          <w:p>
            <w:pPr>
              <w:rPr>
                <w:rFonts w:ascii="宋体" w:hAnsi="宋体"/>
                <w:color w:val="000000"/>
                <w:szCs w:val="21"/>
              </w:rPr>
            </w:pPr>
            <w:r>
              <w:rPr>
                <w:rFonts w:hint="eastAsia" w:ascii="宋体" w:hAnsi="宋体"/>
                <w:color w:val="000000"/>
                <w:szCs w:val="21"/>
              </w:rPr>
              <w:t>明确岗位权责、规划权力分配、合理授权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1270" w:type="dxa"/>
            <w:vMerge w:val="restart"/>
            <w:noWrap w:val="0"/>
            <w:vAlign w:val="center"/>
          </w:tcPr>
          <w:p>
            <w:pPr>
              <w:rPr>
                <w:rFonts w:ascii="宋体" w:hAnsi="宋体"/>
                <w:color w:val="000000"/>
                <w:szCs w:val="21"/>
              </w:rPr>
            </w:pPr>
            <w:r>
              <w:rPr>
                <w:rFonts w:hint="eastAsia" w:ascii="宋体" w:hAnsi="宋体"/>
                <w:color w:val="000000"/>
                <w:szCs w:val="21"/>
              </w:rPr>
              <w:t>一般管理、技术人员</w:t>
            </w:r>
          </w:p>
        </w:tc>
        <w:tc>
          <w:tcPr>
            <w:tcW w:w="2104" w:type="dxa"/>
            <w:noWrap w:val="0"/>
            <w:vAlign w:val="center"/>
          </w:tcPr>
          <w:p>
            <w:pPr>
              <w:rPr>
                <w:rFonts w:ascii="宋体" w:hAnsi="宋体"/>
                <w:color w:val="000000"/>
                <w:szCs w:val="21"/>
              </w:rPr>
            </w:pPr>
            <w:r>
              <w:rPr>
                <w:rFonts w:hint="eastAsia" w:ascii="宋体" w:hAnsi="宋体"/>
                <w:color w:val="000000"/>
                <w:szCs w:val="21"/>
              </w:rPr>
              <w:t>薪资吸引力</w:t>
            </w:r>
          </w:p>
        </w:tc>
        <w:tc>
          <w:tcPr>
            <w:tcW w:w="5582" w:type="dxa"/>
            <w:noWrap w:val="0"/>
            <w:vAlign w:val="center"/>
          </w:tcPr>
          <w:p>
            <w:pPr>
              <w:rPr>
                <w:rFonts w:ascii="宋体" w:hAnsi="宋体"/>
                <w:color w:val="000000"/>
                <w:szCs w:val="21"/>
              </w:rPr>
            </w:pPr>
            <w:r>
              <w:rPr>
                <w:rFonts w:hint="eastAsia" w:ascii="宋体" w:hAnsi="宋体"/>
                <w:color w:val="000000"/>
                <w:szCs w:val="21"/>
              </w:rPr>
              <w:t>实行市场领先型的薪酬策略，薪酬与绩效挂钩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1270" w:type="dxa"/>
            <w:vMerge w:val="continue"/>
            <w:noWrap w:val="0"/>
            <w:vAlign w:val="center"/>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福利</w:t>
            </w:r>
          </w:p>
        </w:tc>
        <w:tc>
          <w:tcPr>
            <w:tcW w:w="5582" w:type="dxa"/>
            <w:noWrap w:val="0"/>
            <w:vAlign w:val="center"/>
          </w:tcPr>
          <w:p>
            <w:pPr>
              <w:rPr>
                <w:rFonts w:ascii="宋体" w:hAnsi="宋体"/>
                <w:color w:val="000000"/>
                <w:szCs w:val="21"/>
              </w:rPr>
            </w:pPr>
            <w:r>
              <w:rPr>
                <w:rFonts w:hint="eastAsia" w:ascii="宋体" w:hAnsi="宋体"/>
                <w:color w:val="000000"/>
                <w:szCs w:val="21"/>
              </w:rPr>
              <w:t>五险一金、年终奖、技术（岗位）津贴、高温补贴、各类节日福利等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270" w:type="dxa"/>
            <w:vMerge w:val="continue"/>
            <w:noWrap w:val="0"/>
            <w:vAlign w:val="center"/>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职业发展和晋升</w:t>
            </w:r>
          </w:p>
        </w:tc>
        <w:tc>
          <w:tcPr>
            <w:tcW w:w="5582" w:type="dxa"/>
            <w:noWrap w:val="0"/>
            <w:vAlign w:val="center"/>
          </w:tcPr>
          <w:p>
            <w:pPr>
              <w:rPr>
                <w:rFonts w:ascii="宋体" w:hAnsi="宋体"/>
                <w:color w:val="000000"/>
                <w:szCs w:val="21"/>
              </w:rPr>
            </w:pPr>
            <w:r>
              <w:rPr>
                <w:rFonts w:hint="eastAsia" w:ascii="宋体" w:hAnsi="宋体"/>
                <w:color w:val="000000"/>
                <w:szCs w:val="21"/>
              </w:rPr>
              <w:t>多渠道培养管理、技术人员，提供晋升空间与机会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0" w:type="dxa"/>
            <w:vMerge w:val="continue"/>
            <w:noWrap w:val="0"/>
            <w:vAlign w:val="center"/>
          </w:tcPr>
          <w:p>
            <w:pPr>
              <w:spacing w:line="360" w:lineRule="auto"/>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事业与家庭的平衡</w:t>
            </w:r>
          </w:p>
        </w:tc>
        <w:tc>
          <w:tcPr>
            <w:tcW w:w="5582" w:type="dxa"/>
            <w:noWrap w:val="0"/>
            <w:vAlign w:val="center"/>
          </w:tcPr>
          <w:p>
            <w:pPr>
              <w:rPr>
                <w:rFonts w:ascii="宋体" w:hAnsi="宋体"/>
                <w:color w:val="000000"/>
                <w:szCs w:val="21"/>
              </w:rPr>
            </w:pPr>
            <w:r>
              <w:rPr>
                <w:rFonts w:hint="eastAsia" w:ascii="宋体" w:hAnsi="宋体"/>
                <w:color w:val="000000"/>
                <w:szCs w:val="21"/>
              </w:rPr>
              <w:t>实施《人力资源管理制度》中涉及的婚嫁、产假、丧假等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270" w:type="dxa"/>
            <w:vMerge w:val="restart"/>
            <w:noWrap w:val="0"/>
            <w:vAlign w:val="center"/>
          </w:tcPr>
          <w:p>
            <w:pPr>
              <w:rPr>
                <w:rFonts w:ascii="宋体" w:hAnsi="宋体"/>
                <w:color w:val="000000"/>
                <w:szCs w:val="21"/>
              </w:rPr>
            </w:pPr>
            <w:r>
              <w:rPr>
                <w:rFonts w:hint="eastAsia" w:ascii="宋体" w:hAnsi="宋体"/>
                <w:color w:val="000000"/>
                <w:szCs w:val="21"/>
              </w:rPr>
              <w:t>一线生产人员</w:t>
            </w:r>
          </w:p>
        </w:tc>
        <w:tc>
          <w:tcPr>
            <w:tcW w:w="2104" w:type="dxa"/>
            <w:noWrap w:val="0"/>
            <w:vAlign w:val="center"/>
          </w:tcPr>
          <w:p>
            <w:pPr>
              <w:rPr>
                <w:rFonts w:ascii="宋体" w:hAnsi="宋体"/>
                <w:color w:val="000000"/>
                <w:szCs w:val="21"/>
              </w:rPr>
            </w:pPr>
            <w:r>
              <w:rPr>
                <w:rFonts w:hint="eastAsia" w:ascii="宋体" w:hAnsi="宋体"/>
                <w:color w:val="000000"/>
                <w:szCs w:val="21"/>
              </w:rPr>
              <w:t>劳动强度</w:t>
            </w:r>
          </w:p>
        </w:tc>
        <w:tc>
          <w:tcPr>
            <w:tcW w:w="5582" w:type="dxa"/>
            <w:noWrap w:val="0"/>
            <w:vAlign w:val="center"/>
          </w:tcPr>
          <w:p>
            <w:pPr>
              <w:rPr>
                <w:rFonts w:ascii="宋体" w:hAnsi="宋体"/>
                <w:color w:val="000000"/>
                <w:szCs w:val="21"/>
              </w:rPr>
            </w:pPr>
            <w:r>
              <w:rPr>
                <w:rFonts w:hint="eastAsia" w:ascii="宋体" w:hAnsi="宋体"/>
                <w:color w:val="000000"/>
                <w:szCs w:val="21"/>
              </w:rPr>
              <w:t>引进新技术、设备，进行自动化技术改造，降低工作强度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1270" w:type="dxa"/>
            <w:vMerge w:val="continue"/>
            <w:noWrap w:val="0"/>
            <w:vAlign w:val="top"/>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薪资吸引力</w:t>
            </w:r>
          </w:p>
        </w:tc>
        <w:tc>
          <w:tcPr>
            <w:tcW w:w="5582" w:type="dxa"/>
            <w:noWrap w:val="0"/>
            <w:vAlign w:val="center"/>
          </w:tcPr>
          <w:p>
            <w:pPr>
              <w:rPr>
                <w:rFonts w:ascii="宋体" w:hAnsi="宋体"/>
                <w:color w:val="000000"/>
                <w:szCs w:val="21"/>
              </w:rPr>
            </w:pPr>
            <w:r>
              <w:rPr>
                <w:rFonts w:hint="eastAsia" w:ascii="宋体" w:hAnsi="宋体"/>
                <w:color w:val="000000"/>
                <w:szCs w:val="21"/>
              </w:rPr>
              <w:t>实行区域与行业的市场领先型薪酬策略，薪酬与绩效挂钩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0" w:type="dxa"/>
            <w:vMerge w:val="continue"/>
            <w:noWrap w:val="0"/>
            <w:vAlign w:val="top"/>
          </w:tcPr>
          <w:p>
            <w:pPr>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福利</w:t>
            </w:r>
          </w:p>
        </w:tc>
        <w:tc>
          <w:tcPr>
            <w:tcW w:w="5582" w:type="dxa"/>
            <w:noWrap w:val="0"/>
            <w:vAlign w:val="center"/>
          </w:tcPr>
          <w:p>
            <w:pPr>
              <w:rPr>
                <w:rFonts w:ascii="宋体" w:hAnsi="宋体"/>
                <w:color w:val="000000"/>
                <w:szCs w:val="21"/>
              </w:rPr>
            </w:pPr>
            <w:r>
              <w:rPr>
                <w:rFonts w:hint="eastAsia" w:ascii="宋体" w:hAnsi="宋体"/>
                <w:color w:val="000000"/>
                <w:szCs w:val="21"/>
              </w:rPr>
              <w:t>五险、年终奖、技术（岗位）津贴、高温补贴、各类节日福利等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270" w:type="dxa"/>
            <w:vMerge w:val="continue"/>
            <w:noWrap w:val="0"/>
            <w:vAlign w:val="top"/>
          </w:tcPr>
          <w:p>
            <w:pPr>
              <w:spacing w:line="360" w:lineRule="auto"/>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工作环境</w:t>
            </w:r>
          </w:p>
        </w:tc>
        <w:tc>
          <w:tcPr>
            <w:tcW w:w="5582" w:type="dxa"/>
            <w:noWrap w:val="0"/>
            <w:vAlign w:val="center"/>
          </w:tcPr>
          <w:p>
            <w:pPr>
              <w:rPr>
                <w:rFonts w:ascii="宋体" w:hAnsi="宋体"/>
                <w:color w:val="000000"/>
                <w:szCs w:val="21"/>
              </w:rPr>
            </w:pPr>
            <w:r>
              <w:rPr>
                <w:rFonts w:hint="eastAsia" w:ascii="宋体" w:hAnsi="宋体"/>
                <w:color w:val="000000"/>
                <w:szCs w:val="21"/>
              </w:rPr>
              <w:t>干净整洁的工作场所，发放工作服、劳动保护品等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1270" w:type="dxa"/>
            <w:vMerge w:val="continue"/>
            <w:noWrap w:val="0"/>
            <w:vAlign w:val="top"/>
          </w:tcPr>
          <w:p>
            <w:pPr>
              <w:spacing w:line="360" w:lineRule="auto"/>
              <w:rPr>
                <w:rFonts w:ascii="宋体" w:hAnsi="宋体"/>
                <w:color w:val="000000"/>
                <w:szCs w:val="21"/>
              </w:rPr>
            </w:pPr>
          </w:p>
        </w:tc>
        <w:tc>
          <w:tcPr>
            <w:tcW w:w="2104" w:type="dxa"/>
            <w:noWrap w:val="0"/>
            <w:vAlign w:val="center"/>
          </w:tcPr>
          <w:p>
            <w:pPr>
              <w:rPr>
                <w:rFonts w:ascii="宋体" w:hAnsi="宋体"/>
                <w:color w:val="000000"/>
                <w:szCs w:val="21"/>
              </w:rPr>
            </w:pPr>
            <w:r>
              <w:rPr>
                <w:rFonts w:hint="eastAsia" w:ascii="宋体" w:hAnsi="宋体"/>
                <w:color w:val="000000"/>
                <w:szCs w:val="21"/>
              </w:rPr>
              <w:t>学习与成长</w:t>
            </w:r>
          </w:p>
        </w:tc>
        <w:tc>
          <w:tcPr>
            <w:tcW w:w="5582" w:type="dxa"/>
            <w:noWrap w:val="0"/>
            <w:vAlign w:val="center"/>
          </w:tcPr>
          <w:p>
            <w:pPr>
              <w:rPr>
                <w:rFonts w:ascii="宋体" w:hAnsi="宋体"/>
                <w:color w:val="000000"/>
                <w:szCs w:val="21"/>
              </w:rPr>
            </w:pPr>
            <w:r>
              <w:rPr>
                <w:rFonts w:hint="eastAsia" w:ascii="宋体" w:hAnsi="宋体"/>
                <w:color w:val="000000"/>
                <w:szCs w:val="21"/>
              </w:rPr>
              <w:t>师傅带徒弟、职业带头人、技能岗位工种培训</w:t>
            </w:r>
          </w:p>
        </w:tc>
      </w:tr>
    </w:tbl>
    <w:p>
      <w:pPr>
        <w:pStyle w:val="15"/>
        <w:shd w:val="clear" w:color="auto" w:fill="FFFFFF"/>
        <w:spacing w:beforeAutospacing="0" w:afterAutospacing="0" w:line="360" w:lineRule="auto"/>
        <w:ind w:right="325" w:rightChars="155" w:firstLine="240" w:firstLineChars="100"/>
        <w:textAlignment w:val="baseline"/>
        <w:rPr>
          <w:rFonts w:hint="eastAsia" w:cs="Arial"/>
          <w:bCs/>
          <w:kern w:val="2"/>
        </w:rPr>
      </w:pPr>
      <w:r>
        <w:rPr>
          <w:rFonts w:hint="eastAsia" w:cs="Arial"/>
          <w:bCs/>
          <w:kern w:val="2"/>
        </w:rPr>
        <w:t>为给员工营造主动参与的氛围，鼓励员工积极参与群众性质量管理活动，包括：</w:t>
      </w:r>
    </w:p>
    <w:p>
      <w:pPr>
        <w:spacing w:line="360" w:lineRule="auto"/>
        <w:ind w:firstLine="482" w:firstLineChars="200"/>
        <w:jc w:val="left"/>
        <w:rPr>
          <w:rFonts w:ascii="宋体" w:hAnsi="宋体"/>
          <w:b/>
          <w:color w:val="000000"/>
          <w:sz w:val="24"/>
        </w:rPr>
      </w:pPr>
      <w:r>
        <w:rPr>
          <w:rFonts w:hint="eastAsia" w:ascii="宋体" w:hAnsi="宋体"/>
          <w:b/>
          <w:color w:val="000000"/>
          <w:sz w:val="24"/>
        </w:rPr>
        <w:t>① 现场</w:t>
      </w:r>
      <w:r>
        <w:rPr>
          <w:rFonts w:hint="eastAsia" w:ascii="宋体" w:hAnsi="宋体"/>
          <w:b/>
          <w:color w:val="000000"/>
          <w:sz w:val="24"/>
          <w:lang w:val="en-US" w:eastAsia="zh-CN"/>
        </w:rPr>
        <w:t>6</w:t>
      </w:r>
      <w:r>
        <w:rPr>
          <w:rFonts w:hint="eastAsia" w:ascii="宋体" w:hAnsi="宋体"/>
          <w:b/>
          <w:color w:val="000000"/>
          <w:sz w:val="24"/>
        </w:rPr>
        <w:t>S管理</w:t>
      </w:r>
    </w:p>
    <w:p>
      <w:pPr>
        <w:spacing w:line="360" w:lineRule="auto"/>
        <w:ind w:firstLine="480" w:firstLineChars="200"/>
        <w:jc w:val="left"/>
        <w:rPr>
          <w:rFonts w:ascii="宋体" w:hAnsi="宋体"/>
          <w:color w:val="000000"/>
          <w:sz w:val="24"/>
        </w:rPr>
      </w:pPr>
      <w:r>
        <w:rPr>
          <w:rFonts w:hint="eastAsia" w:ascii="宋体" w:hAnsi="宋体"/>
          <w:color w:val="000000"/>
          <w:sz w:val="24"/>
        </w:rPr>
        <w:t>公司推行</w:t>
      </w:r>
      <w:r>
        <w:rPr>
          <w:rFonts w:hint="eastAsia" w:ascii="宋体" w:hAnsi="宋体"/>
          <w:color w:val="000000"/>
          <w:sz w:val="24"/>
          <w:lang w:val="en-US" w:eastAsia="zh-CN"/>
        </w:rPr>
        <w:t>6</w:t>
      </w:r>
      <w:r>
        <w:rPr>
          <w:rFonts w:hint="eastAsia" w:ascii="宋体" w:hAnsi="宋体"/>
          <w:color w:val="000000"/>
          <w:sz w:val="24"/>
        </w:rPr>
        <w:t>S管理，制定</w:t>
      </w:r>
      <w:r>
        <w:rPr>
          <w:rFonts w:hint="eastAsia" w:ascii="宋体" w:hAnsi="宋体"/>
          <w:color w:val="000000"/>
          <w:sz w:val="24"/>
          <w:lang w:val="en-US" w:eastAsia="zh-CN"/>
        </w:rPr>
        <w:t>6</w:t>
      </w:r>
      <w:r>
        <w:rPr>
          <w:rFonts w:hint="eastAsia" w:ascii="宋体" w:hAnsi="宋体"/>
          <w:color w:val="000000"/>
          <w:sz w:val="24"/>
        </w:rPr>
        <w:t>S作业标准，组织自查与互查并曝光、实施奖惩，使得公司整体面貌尤其是各车间面貌发生巨大变化，员工素质得到提升。</w:t>
      </w:r>
    </w:p>
    <w:p>
      <w:pPr>
        <w:spacing w:line="360" w:lineRule="auto"/>
        <w:ind w:firstLine="482" w:firstLineChars="200"/>
        <w:jc w:val="left"/>
        <w:rPr>
          <w:rFonts w:ascii="宋体" w:hAnsi="宋体"/>
          <w:color w:val="000000"/>
          <w:sz w:val="24"/>
        </w:rPr>
      </w:pPr>
      <w:r>
        <w:rPr>
          <w:rFonts w:hint="eastAsia" w:ascii="宋体" w:hAnsi="宋体"/>
          <w:b/>
          <w:color w:val="000000"/>
          <w:sz w:val="24"/>
        </w:rPr>
        <w:t>② 通过信息反馈形式多渠道收集落实合理化建议</w:t>
      </w:r>
    </w:p>
    <w:p>
      <w:pPr>
        <w:spacing w:line="360" w:lineRule="auto"/>
        <w:ind w:firstLine="480" w:firstLineChars="200"/>
        <w:jc w:val="left"/>
        <w:rPr>
          <w:rFonts w:ascii="宋体" w:hAnsi="宋体"/>
          <w:color w:val="000000"/>
          <w:sz w:val="24"/>
        </w:rPr>
      </w:pPr>
      <w:r>
        <w:rPr>
          <w:rFonts w:hint="eastAsia" w:ascii="宋体" w:hAnsi="宋体"/>
          <w:color w:val="000000"/>
          <w:sz w:val="24"/>
        </w:rPr>
        <w:t>公司设有总经理邮箱和其他信息反馈渠道，对反馈信息（建议）的员工进行奖励。组织员工踊跃参加，对合理化建议进行评选，对采纳的建议予以奖励。</w:t>
      </w:r>
    </w:p>
    <w:p>
      <w:pPr>
        <w:spacing w:line="360" w:lineRule="auto"/>
        <w:ind w:firstLine="420"/>
        <w:jc w:val="left"/>
        <w:textAlignment w:val="baseline"/>
        <w:rPr>
          <w:rFonts w:ascii="宋体" w:hAnsi="宋体"/>
          <w:b/>
          <w:color w:val="000000"/>
          <w:sz w:val="24"/>
        </w:rPr>
      </w:pPr>
      <w:r>
        <w:rPr>
          <w:rFonts w:hint="eastAsia" w:ascii="宋体" w:hAnsi="宋体"/>
          <w:b/>
          <w:color w:val="000000"/>
          <w:sz w:val="24"/>
        </w:rPr>
        <w:t>③ 开展岗位及</w:t>
      </w:r>
      <w:r>
        <w:rPr>
          <w:rFonts w:ascii="宋体" w:hAnsi="宋体"/>
          <w:b/>
          <w:color w:val="000000"/>
          <w:sz w:val="24"/>
        </w:rPr>
        <w:t>团队</w:t>
      </w:r>
      <w:r>
        <w:rPr>
          <w:rFonts w:hint="eastAsia" w:ascii="宋体" w:hAnsi="宋体"/>
          <w:b/>
          <w:color w:val="000000"/>
          <w:sz w:val="24"/>
        </w:rPr>
        <w:t>提升活动，改进各项工作</w:t>
      </w:r>
    </w:p>
    <w:p>
      <w:pPr>
        <w:spacing w:line="360" w:lineRule="auto"/>
        <w:ind w:firstLine="420"/>
        <w:jc w:val="left"/>
        <w:textAlignment w:val="baseline"/>
        <w:rPr>
          <w:rFonts w:hint="eastAsia" w:ascii="宋体" w:hAnsi="宋体"/>
          <w:b/>
          <w:color w:val="000000"/>
          <w:sz w:val="24"/>
        </w:rPr>
      </w:pPr>
      <w:r>
        <w:rPr>
          <w:rFonts w:hint="eastAsia" w:ascii="宋体" w:hAnsi="宋体"/>
          <w:color w:val="000000"/>
          <w:sz w:val="24"/>
        </w:rPr>
        <w:t>公司以攻坚克难、问题改善入手，鼓励员工在本职工作中不断发现改进的空间，员工从工艺、质量、现场管理、</w:t>
      </w:r>
      <w:r>
        <w:rPr>
          <w:rFonts w:ascii="宋体" w:hAnsi="宋体"/>
          <w:color w:val="000000"/>
          <w:sz w:val="24"/>
        </w:rPr>
        <w:t>供应链</w:t>
      </w:r>
      <w:r>
        <w:rPr>
          <w:rFonts w:hint="eastAsia" w:ascii="宋体" w:hAnsi="宋体"/>
          <w:color w:val="000000"/>
          <w:sz w:val="24"/>
        </w:rPr>
        <w:t>等方面对公司产品的质量稳定性、成本下降、技术提升等方面做了大量工作，公司为鼓励改进，将改进成果给予奖励。公司</w:t>
      </w:r>
      <w:r>
        <w:rPr>
          <w:rFonts w:ascii="宋体" w:hAnsi="宋体"/>
          <w:color w:val="000000"/>
          <w:sz w:val="24"/>
        </w:rPr>
        <w:t>年</w:t>
      </w:r>
      <w:r>
        <w:rPr>
          <w:rFonts w:hint="eastAsia" w:ascii="宋体" w:hAnsi="宋体"/>
          <w:color w:val="000000"/>
          <w:sz w:val="24"/>
        </w:rPr>
        <w:t>终组织</w:t>
      </w:r>
      <w:r>
        <w:rPr>
          <w:rFonts w:ascii="宋体" w:hAnsi="宋体"/>
          <w:color w:val="000000"/>
          <w:sz w:val="24"/>
        </w:rPr>
        <w:t>评</w:t>
      </w:r>
      <w:r>
        <w:rPr>
          <w:rFonts w:hint="eastAsia" w:ascii="宋体" w:hAnsi="宋体"/>
          <w:color w:val="000000"/>
          <w:sz w:val="24"/>
        </w:rPr>
        <w:t>选</w:t>
      </w:r>
      <w:r>
        <w:rPr>
          <w:rFonts w:ascii="宋体" w:hAnsi="宋体"/>
          <w:color w:val="000000"/>
          <w:sz w:val="24"/>
        </w:rPr>
        <w:t>优秀个人</w:t>
      </w:r>
      <w:r>
        <w:rPr>
          <w:rFonts w:hint="eastAsia" w:ascii="宋体" w:hAnsi="宋体"/>
          <w:color w:val="000000"/>
          <w:sz w:val="24"/>
        </w:rPr>
        <w:t>，</w:t>
      </w:r>
      <w:r>
        <w:rPr>
          <w:rFonts w:ascii="宋体" w:hAnsi="宋体"/>
          <w:color w:val="000000"/>
          <w:sz w:val="24"/>
        </w:rPr>
        <w:t>并在公司</w:t>
      </w:r>
      <w:r>
        <w:rPr>
          <w:rFonts w:hint="eastAsia" w:ascii="宋体" w:hAnsi="宋体"/>
          <w:color w:val="000000"/>
          <w:sz w:val="24"/>
        </w:rPr>
        <w:t>年</w:t>
      </w:r>
      <w:r>
        <w:rPr>
          <w:rFonts w:ascii="宋体" w:hAnsi="宋体"/>
          <w:color w:val="000000"/>
          <w:sz w:val="24"/>
        </w:rPr>
        <w:t>会上</w:t>
      </w:r>
      <w:r>
        <w:rPr>
          <w:rFonts w:hint="eastAsia" w:ascii="宋体" w:hAnsi="宋体"/>
          <w:color w:val="000000"/>
          <w:sz w:val="24"/>
        </w:rPr>
        <w:t>进行</w:t>
      </w:r>
      <w:r>
        <w:rPr>
          <w:rFonts w:ascii="宋体" w:hAnsi="宋体"/>
          <w:color w:val="000000"/>
          <w:sz w:val="24"/>
        </w:rPr>
        <w:t>表彰</w:t>
      </w:r>
      <w:r>
        <w:rPr>
          <w:rFonts w:hint="eastAsia" w:ascii="宋体" w:hAnsi="宋体"/>
          <w:color w:val="000000"/>
          <w:sz w:val="24"/>
        </w:rPr>
        <w:t>。，我们还通过诸如劳动技能竞赛、员工聚餐和文娱活动等员工活动来调动员工的工作激情，丰富员工的业余生活，获得了员工的广泛好评。如下图：</w:t>
      </w:r>
      <w:r>
        <w:drawing>
          <wp:inline distT="0" distB="0" distL="114300" distR="114300">
            <wp:extent cx="5273675" cy="1724025"/>
            <wp:effectExtent l="0" t="0" r="317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5273675" cy="1724025"/>
                    </a:xfrm>
                    <a:prstGeom prst="rect">
                      <a:avLst/>
                    </a:prstGeom>
                    <a:noFill/>
                    <a:ln>
                      <a:noFill/>
                    </a:ln>
                  </pic:spPr>
                </pic:pic>
              </a:graphicData>
            </a:graphic>
          </wp:inline>
        </w:drawing>
      </w:r>
    </w:p>
    <w:p>
      <w:pPr>
        <w:spacing w:line="360" w:lineRule="auto"/>
        <w:ind w:firstLine="480" w:firstLineChars="200"/>
        <w:rPr>
          <w:rFonts w:hint="eastAsia" w:ascii="宋体" w:hAnsi="宋体"/>
          <w:sz w:val="24"/>
        </w:rPr>
      </w:pPr>
      <w:r>
        <w:rPr>
          <w:rFonts w:hint="eastAsia" w:ascii="宋体" w:hAnsi="宋体"/>
          <w:sz w:val="24"/>
        </w:rPr>
        <w:t>公司对影响员工权益、满意度和积极性的关键因素主要通过员工满意度调查等活动来识别，通过沟通、归纳，总结出相关影响因素，并有针对性地提出改善措施。</w:t>
      </w:r>
    </w:p>
    <w:p>
      <w:pPr>
        <w:spacing w:line="360" w:lineRule="auto"/>
        <w:jc w:val="center"/>
        <w:rPr>
          <w:rFonts w:hint="eastAsia" w:ascii="宋体" w:hAnsi="宋体"/>
          <w:b/>
          <w:sz w:val="24"/>
        </w:rPr>
      </w:pPr>
      <w:r>
        <w:rPr>
          <w:rFonts w:hint="eastAsia" w:ascii="宋体" w:hAnsi="宋体"/>
          <w:b/>
          <w:sz w:val="24"/>
        </w:rPr>
        <w:t>图表-9  员工权益及满意度关键影响因素和改善措施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701"/>
        <w:gridCol w:w="5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Borders>
              <w:bottom w:val="single" w:color="auto" w:sz="4" w:space="0"/>
            </w:tcBorders>
            <w:shd w:val="clear" w:color="auto" w:fill="FBE4D5"/>
            <w:noWrap w:val="0"/>
            <w:vAlign w:val="top"/>
          </w:tcPr>
          <w:p>
            <w:pPr>
              <w:spacing w:line="360" w:lineRule="auto"/>
              <w:jc w:val="center"/>
              <w:rPr>
                <w:rFonts w:hint="eastAsia" w:ascii="宋体" w:hAnsi="宋体"/>
                <w:b/>
                <w:bCs/>
                <w:szCs w:val="21"/>
              </w:rPr>
            </w:pPr>
            <w:r>
              <w:rPr>
                <w:rFonts w:hint="eastAsia" w:ascii="宋体" w:hAnsi="宋体"/>
                <w:b/>
                <w:bCs/>
                <w:szCs w:val="21"/>
              </w:rPr>
              <w:t>员工层级</w:t>
            </w:r>
          </w:p>
        </w:tc>
        <w:tc>
          <w:tcPr>
            <w:tcW w:w="1701" w:type="dxa"/>
            <w:shd w:val="clear" w:color="auto" w:fill="FBE4D5"/>
            <w:noWrap w:val="0"/>
            <w:vAlign w:val="top"/>
          </w:tcPr>
          <w:p>
            <w:pPr>
              <w:spacing w:line="360" w:lineRule="auto"/>
              <w:jc w:val="center"/>
              <w:rPr>
                <w:rFonts w:hint="eastAsia" w:ascii="宋体" w:hAnsi="宋体"/>
                <w:b/>
                <w:bCs/>
                <w:szCs w:val="21"/>
              </w:rPr>
            </w:pPr>
            <w:r>
              <w:rPr>
                <w:rFonts w:hint="eastAsia" w:ascii="宋体" w:hAnsi="宋体"/>
                <w:b/>
                <w:bCs/>
                <w:szCs w:val="21"/>
              </w:rPr>
              <w:t>关键影响因素</w:t>
            </w:r>
          </w:p>
        </w:tc>
        <w:tc>
          <w:tcPr>
            <w:tcW w:w="5416" w:type="dxa"/>
            <w:shd w:val="clear" w:color="auto" w:fill="FBE4D5"/>
            <w:noWrap w:val="0"/>
            <w:vAlign w:val="top"/>
          </w:tcPr>
          <w:p>
            <w:pPr>
              <w:spacing w:line="360" w:lineRule="auto"/>
              <w:jc w:val="center"/>
              <w:rPr>
                <w:rFonts w:hint="eastAsia" w:ascii="宋体" w:hAnsi="宋体"/>
                <w:b/>
                <w:bCs/>
                <w:szCs w:val="21"/>
              </w:rPr>
            </w:pPr>
            <w:r>
              <w:rPr>
                <w:rFonts w:hint="eastAsia" w:ascii="宋体" w:hAnsi="宋体"/>
                <w:b/>
                <w:bCs/>
                <w:szCs w:val="21"/>
              </w:rPr>
              <w:t>改善措施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shd w:val="clear" w:color="auto" w:fill="FFFFFF"/>
            <w:noWrap w:val="0"/>
            <w:vAlign w:val="top"/>
          </w:tcPr>
          <w:p>
            <w:pPr>
              <w:rPr>
                <w:rFonts w:hint="eastAsia" w:ascii="宋体" w:hAnsi="宋体"/>
                <w:szCs w:val="21"/>
              </w:rPr>
            </w:pPr>
            <w:r>
              <w:rPr>
                <w:rFonts w:hint="eastAsia" w:ascii="宋体" w:hAnsi="宋体"/>
                <w:szCs w:val="21"/>
              </w:rPr>
              <w:t>基层一线员工</w:t>
            </w:r>
          </w:p>
        </w:tc>
        <w:tc>
          <w:tcPr>
            <w:tcW w:w="1701" w:type="dxa"/>
            <w:noWrap w:val="0"/>
            <w:vAlign w:val="top"/>
          </w:tcPr>
          <w:p>
            <w:pPr>
              <w:rPr>
                <w:rFonts w:hint="eastAsia" w:ascii="宋体" w:hAnsi="宋体"/>
                <w:szCs w:val="21"/>
              </w:rPr>
            </w:pPr>
            <w:r>
              <w:rPr>
                <w:rFonts w:hint="eastAsia" w:ascii="宋体" w:hAnsi="宋体"/>
                <w:szCs w:val="21"/>
              </w:rPr>
              <w:t>工资、福利、工作时间、工作环境、生活配套设施</w:t>
            </w:r>
          </w:p>
        </w:tc>
        <w:tc>
          <w:tcPr>
            <w:tcW w:w="5416" w:type="dxa"/>
            <w:noWrap w:val="0"/>
            <w:vAlign w:val="top"/>
          </w:tcPr>
          <w:p>
            <w:pPr>
              <w:rPr>
                <w:rFonts w:hint="eastAsia" w:ascii="宋体" w:hAnsi="宋体"/>
                <w:szCs w:val="21"/>
              </w:rPr>
            </w:pPr>
            <w:r>
              <w:rPr>
                <w:rFonts w:hint="eastAsia" w:ascii="宋体" w:hAnsi="宋体"/>
                <w:szCs w:val="21"/>
              </w:rPr>
              <w:t>1、保证员工工资逐年增长</w:t>
            </w:r>
          </w:p>
          <w:p>
            <w:pPr>
              <w:rPr>
                <w:rFonts w:hint="eastAsia" w:ascii="宋体" w:hAnsi="宋体"/>
                <w:szCs w:val="21"/>
              </w:rPr>
            </w:pPr>
            <w:r>
              <w:rPr>
                <w:rFonts w:hint="eastAsia" w:ascii="宋体" w:hAnsi="宋体"/>
                <w:szCs w:val="21"/>
              </w:rPr>
              <w:t>2、工作时间按国家法律法规实施综合工时制、节假日带薪制度。</w:t>
            </w:r>
          </w:p>
          <w:p>
            <w:pPr>
              <w:rPr>
                <w:rFonts w:hint="eastAsia" w:ascii="宋体" w:hAnsi="宋体"/>
                <w:szCs w:val="21"/>
              </w:rPr>
            </w:pPr>
            <w:r>
              <w:rPr>
                <w:rFonts w:hint="eastAsia" w:ascii="宋体" w:hAnsi="宋体"/>
                <w:szCs w:val="21"/>
              </w:rPr>
              <w:t>3、开展民主调查，及时了解基层管理人员不合理的管理方式，并责令改正</w:t>
            </w:r>
          </w:p>
          <w:p>
            <w:pPr>
              <w:rPr>
                <w:rFonts w:hint="eastAsia" w:ascii="宋体" w:hAnsi="宋体"/>
                <w:szCs w:val="21"/>
              </w:rPr>
            </w:pPr>
            <w:r>
              <w:rPr>
                <w:rFonts w:hint="eastAsia" w:ascii="宋体" w:hAnsi="宋体"/>
                <w:szCs w:val="21"/>
              </w:rPr>
              <w:t>4、识别危险源，改善工作环境。</w:t>
            </w:r>
          </w:p>
          <w:p>
            <w:pPr>
              <w:rPr>
                <w:rFonts w:hint="eastAsia" w:ascii="宋体" w:hAnsi="宋体"/>
                <w:szCs w:val="21"/>
              </w:rPr>
            </w:pPr>
            <w:r>
              <w:rPr>
                <w:rFonts w:hint="eastAsia" w:ascii="宋体" w:hAnsi="宋体"/>
                <w:szCs w:val="21"/>
              </w:rPr>
              <w:t>5、维护员工权益，及时反馈员工意见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shd w:val="clear" w:color="auto" w:fill="FFFFFF"/>
            <w:noWrap w:val="0"/>
            <w:vAlign w:val="top"/>
          </w:tcPr>
          <w:p>
            <w:pPr>
              <w:rPr>
                <w:rFonts w:hint="eastAsia" w:ascii="宋体" w:hAnsi="宋体"/>
                <w:szCs w:val="21"/>
              </w:rPr>
            </w:pPr>
            <w:r>
              <w:rPr>
                <w:rFonts w:hint="eastAsia" w:ascii="宋体" w:hAnsi="宋体"/>
                <w:szCs w:val="21"/>
              </w:rPr>
              <w:t>管理人员、技术人员及高管</w:t>
            </w:r>
          </w:p>
        </w:tc>
        <w:tc>
          <w:tcPr>
            <w:tcW w:w="1701" w:type="dxa"/>
            <w:noWrap w:val="0"/>
            <w:vAlign w:val="top"/>
          </w:tcPr>
          <w:p>
            <w:pPr>
              <w:rPr>
                <w:rFonts w:hint="eastAsia" w:ascii="宋体" w:hAnsi="宋体"/>
                <w:szCs w:val="21"/>
              </w:rPr>
            </w:pPr>
            <w:r>
              <w:rPr>
                <w:rFonts w:hint="eastAsia" w:ascii="宋体" w:hAnsi="宋体"/>
                <w:szCs w:val="21"/>
              </w:rPr>
              <w:t>薪资福利、工作环境、激励机制、发展机会</w:t>
            </w:r>
          </w:p>
        </w:tc>
        <w:tc>
          <w:tcPr>
            <w:tcW w:w="5416" w:type="dxa"/>
            <w:noWrap w:val="0"/>
            <w:vAlign w:val="top"/>
          </w:tcPr>
          <w:p>
            <w:pPr>
              <w:numPr>
                <w:ilvl w:val="0"/>
                <w:numId w:val="5"/>
              </w:numPr>
              <w:rPr>
                <w:rFonts w:hint="eastAsia" w:ascii="宋体" w:hAnsi="宋体"/>
                <w:szCs w:val="21"/>
              </w:rPr>
            </w:pPr>
            <w:r>
              <w:rPr>
                <w:rFonts w:hint="eastAsia" w:ascii="宋体" w:hAnsi="宋体"/>
                <w:szCs w:val="21"/>
              </w:rPr>
              <w:t>参与企业发展规划制定，实行超目标利润激励，使企业利益与员工利益挂钩</w:t>
            </w:r>
          </w:p>
          <w:p>
            <w:pPr>
              <w:numPr>
                <w:ilvl w:val="0"/>
                <w:numId w:val="5"/>
              </w:numPr>
              <w:rPr>
                <w:rFonts w:hint="eastAsia" w:ascii="宋体" w:hAnsi="宋体"/>
                <w:szCs w:val="21"/>
              </w:rPr>
            </w:pPr>
            <w:r>
              <w:rPr>
                <w:rFonts w:hint="eastAsia" w:ascii="宋体" w:hAnsi="宋体"/>
                <w:szCs w:val="21"/>
              </w:rPr>
              <w:t>广泛识别员工的个性发展需求，合理提供培训、深造机会，营造知识共享氛围，鼓励员工通过竞聘等方式展现自我才能</w:t>
            </w:r>
          </w:p>
          <w:p>
            <w:pPr>
              <w:numPr>
                <w:ilvl w:val="0"/>
                <w:numId w:val="5"/>
              </w:numPr>
              <w:rPr>
                <w:rFonts w:hint="eastAsia" w:ascii="宋体" w:hAnsi="宋体"/>
                <w:szCs w:val="21"/>
              </w:rPr>
            </w:pPr>
            <w:r>
              <w:rPr>
                <w:rFonts w:hint="eastAsia" w:ascii="宋体" w:hAnsi="宋体"/>
                <w:szCs w:val="21"/>
              </w:rPr>
              <w:t>实行颇具竞争性的年度奖金激励政策，分配机制向绩效突出的管理人员和技术人员倾斜，每年向周边企业及同行业做薪资调研，合理规划激励性收入。</w:t>
            </w:r>
          </w:p>
        </w:tc>
      </w:tr>
    </w:tbl>
    <w:p>
      <w:pPr>
        <w:spacing w:line="360" w:lineRule="auto"/>
        <w:ind w:firstLine="480" w:firstLineChars="200"/>
        <w:rPr>
          <w:rFonts w:ascii="宋体" w:hAnsi="宋体"/>
          <w:color w:val="000000"/>
          <w:sz w:val="24"/>
        </w:rPr>
      </w:pPr>
      <w:r>
        <w:rPr>
          <w:rFonts w:hint="eastAsia" w:ascii="宋体" w:hAnsi="宋体"/>
          <w:sz w:val="24"/>
        </w:rPr>
        <w:t>公司</w:t>
      </w:r>
      <w:r>
        <w:rPr>
          <w:rFonts w:hint="eastAsia" w:ascii="宋体" w:hAnsi="宋体"/>
          <w:sz w:val="24"/>
          <w:lang w:eastAsia="zh-CN"/>
        </w:rPr>
        <w:t>也会按照战略计划定期</w:t>
      </w:r>
      <w:r>
        <w:rPr>
          <w:rFonts w:ascii="宋体" w:hAnsi="宋体"/>
          <w:color w:val="000000"/>
          <w:sz w:val="24"/>
        </w:rPr>
        <w:t>开展</w:t>
      </w:r>
      <w:r>
        <w:rPr>
          <w:rFonts w:hint="eastAsia" w:ascii="宋体" w:hAnsi="宋体"/>
          <w:color w:val="000000"/>
          <w:sz w:val="24"/>
        </w:rPr>
        <w:t>员工满意度测评</w:t>
      </w:r>
      <w:r>
        <w:rPr>
          <w:rFonts w:ascii="宋体" w:hAnsi="宋体"/>
          <w:color w:val="000000"/>
          <w:sz w:val="24"/>
        </w:rPr>
        <w:t>，确定满意度测评</w:t>
      </w:r>
      <w:r>
        <w:rPr>
          <w:rFonts w:hint="eastAsia" w:ascii="宋体" w:hAnsi="宋体"/>
          <w:color w:val="000000"/>
          <w:sz w:val="24"/>
        </w:rPr>
        <w:t>方</w:t>
      </w:r>
      <w:r>
        <w:rPr>
          <w:rFonts w:ascii="宋体" w:hAnsi="宋体"/>
          <w:color w:val="000000"/>
          <w:sz w:val="24"/>
        </w:rPr>
        <w:t>案，然后按照方案进行测评。</w:t>
      </w:r>
    </w:p>
    <w:p>
      <w:pPr>
        <w:spacing w:line="360" w:lineRule="auto"/>
        <w:ind w:firstLine="480" w:firstLineChars="200"/>
        <w:rPr>
          <w:rFonts w:hint="eastAsia" w:ascii="宋体" w:hAnsi="宋体"/>
          <w:sz w:val="24"/>
        </w:rPr>
      </w:pPr>
      <w:r>
        <w:rPr>
          <w:rFonts w:hint="eastAsia" w:ascii="宋体" w:hAnsi="宋体"/>
          <w:sz w:val="24"/>
        </w:rPr>
        <w:t>以全体在职员工作为调研对象，问卷采取匿名的方式由员工通过手机微信自行填写《员工满意度调研问卷》,由办公室收集并统计问卷结果。公司通过开展员工满意度调查活动，确认员工对各项管理活动、工作环境、自身权益等内容的满意程度，识别出影响员工满意度的关键性因素。针对员工满意度测评提出的关于薪酬福利、行政后勤服务改善工作、企业文化活动、员工培养等与员工个人密切相关的各项工作。由办公室将各涉及的改善措施进行跟踪并及时反馈给员工知晓。</w:t>
      </w:r>
    </w:p>
    <w:p>
      <w:pPr>
        <w:pStyle w:val="3"/>
        <w:numPr>
          <w:ilvl w:val="0"/>
          <w:numId w:val="0"/>
        </w:numPr>
        <w:spacing w:before="0" w:after="0" w:line="360" w:lineRule="auto"/>
        <w:rPr>
          <w:rFonts w:ascii="宋体" w:hAnsi="宋体"/>
        </w:rPr>
      </w:pPr>
      <w:bookmarkStart w:id="14" w:name="_Toc27540"/>
      <w:r>
        <w:rPr>
          <w:rFonts w:hint="eastAsia" w:ascii="宋体" w:hAnsi="宋体"/>
        </w:rPr>
        <w:t>2.4债权人、供应商、顾客等利益相关方的权益保护</w:t>
      </w:r>
      <w:bookmarkEnd w:id="14"/>
    </w:p>
    <w:p>
      <w:pPr>
        <w:pStyle w:val="15"/>
        <w:shd w:val="clear" w:color="auto" w:fill="FFFFFF"/>
        <w:spacing w:before="0" w:beforeAutospacing="0" w:after="0" w:afterAutospacing="0" w:line="360" w:lineRule="auto"/>
        <w:ind w:firstLine="420"/>
        <w:textAlignment w:val="baseline"/>
        <w:rPr>
          <w:rFonts w:cs="Arial"/>
          <w:bCs/>
          <w:kern w:val="2"/>
        </w:rPr>
      </w:pPr>
      <w:r>
        <w:rPr>
          <w:rFonts w:hint="eastAsia" w:cs="Arial"/>
          <w:bCs/>
          <w:kern w:val="2"/>
        </w:rPr>
        <w:t>公司始终尊重债权人、顾客、供方等利益相关者的合法权益，追求相互的平等地位，在经营活动中贯穿“诚信为本”的思想，与债权人、顾客、供方等有关利益相关方建立了良好的合作关系。</w:t>
      </w:r>
    </w:p>
    <w:p>
      <w:pPr>
        <w:pStyle w:val="15"/>
        <w:shd w:val="clear" w:color="auto" w:fill="FFFFFF"/>
        <w:spacing w:before="0" w:beforeAutospacing="0" w:after="0" w:afterAutospacing="0" w:line="360" w:lineRule="auto"/>
        <w:ind w:firstLine="420"/>
        <w:textAlignment w:val="baseline"/>
        <w:rPr>
          <w:rFonts w:cs="Arial"/>
          <w:bCs/>
          <w:kern w:val="2"/>
        </w:rPr>
      </w:pPr>
      <w:r>
        <w:rPr>
          <w:rFonts w:hint="eastAsia" w:cs="Arial"/>
          <w:bCs/>
          <w:kern w:val="2"/>
        </w:rPr>
        <w:t>公司持续完善内部控制制度，有效发挥风险管理与内部控制评价机制作用，保障公司经营管理合法合规、资产安全。公司保持良好的资信水平，严格按照与债权人签订的合同履行债务，按时支付利息、归还本金，及时通报与债权人权益相关的重大信息，维护与各债权人之间的良好合作关系。</w:t>
      </w:r>
      <w:r>
        <w:rPr>
          <w:rFonts w:hint="eastAsia" w:cs="Arial"/>
          <w:bCs/>
          <w:kern w:val="2"/>
          <w:lang w:eastAsia="zh-CN"/>
        </w:rPr>
        <w:t>被评为</w:t>
      </w:r>
      <w:r>
        <w:rPr>
          <w:rFonts w:hint="eastAsia" w:cs="Arial"/>
          <w:bCs/>
          <w:kern w:val="2"/>
        </w:rPr>
        <w:t>AAA级守合同重信用公示企业</w:t>
      </w:r>
      <w:r>
        <w:rPr>
          <w:rFonts w:hint="eastAsia" w:cs="Arial"/>
          <w:bCs/>
          <w:kern w:val="2"/>
          <w:lang w:eastAsia="zh-CN"/>
        </w:rPr>
        <w:t>并作为</w:t>
      </w:r>
      <w:r>
        <w:rPr>
          <w:rFonts w:ascii="宋体" w:hAnsi="宋体"/>
          <w:sz w:val="24"/>
          <w:szCs w:val="24"/>
        </w:rPr>
        <w:t>浙江省信用管理示范企业</w:t>
      </w:r>
      <w:r>
        <w:rPr>
          <w:rFonts w:hint="eastAsia" w:cs="Arial"/>
          <w:bCs/>
          <w:kern w:val="2"/>
        </w:rPr>
        <w:t>。</w:t>
      </w:r>
    </w:p>
    <w:p>
      <w:pPr>
        <w:pStyle w:val="46"/>
        <w:spacing w:line="360" w:lineRule="auto"/>
        <w:rPr>
          <w:rFonts w:hint="eastAsia" w:ascii="宋体" w:hAnsi="宋体"/>
          <w:b/>
          <w:sz w:val="24"/>
          <w:szCs w:val="24"/>
        </w:rPr>
      </w:pPr>
      <w:r>
        <w:rPr>
          <w:rFonts w:hint="eastAsia" w:ascii="宋体" w:hAnsi="宋体"/>
          <w:b/>
          <w:sz w:val="24"/>
          <w:szCs w:val="24"/>
        </w:rPr>
        <w:t>2.4.1 供应商的权益保护</w:t>
      </w:r>
    </w:p>
    <w:p>
      <w:pPr>
        <w:pStyle w:val="42"/>
        <w:shd w:val="clear" w:color="auto" w:fill="FFFFFF"/>
        <w:adjustRightInd/>
        <w:spacing w:line="360" w:lineRule="auto"/>
        <w:ind w:firstLine="424" w:firstLineChars="177"/>
        <w:jc w:val="both"/>
        <w:rPr>
          <w:rFonts w:hint="eastAsia"/>
        </w:rPr>
      </w:pPr>
      <w:r>
        <w:rPr>
          <w:rFonts w:hint="eastAsia"/>
        </w:rPr>
        <w:t>公司注</w:t>
      </w:r>
      <w:r>
        <w:t>重供应链一体化建设，不断完善采购流程与机制，建立公平、公正的评估体系，为供应商创造良好的竞争环境。与重要供应商建立战略合作关系，促进供应商在货源保障、质量、价格、服务方面理念上的提升和转变，从理念上认同</w:t>
      </w:r>
      <w:r>
        <w:rPr>
          <w:rFonts w:hint="eastAsia"/>
        </w:rPr>
        <w:t>公司</w:t>
      </w:r>
      <w:r>
        <w:t>的管理和程序，形成共识，优势互补，利益共享。</w:t>
      </w:r>
      <w:r>
        <w:rPr>
          <w:rFonts w:hint="eastAsia" w:hAnsi="宋体"/>
        </w:rPr>
        <w:t>公司建立并实施采购和供应商管理相关制度，规范和约束采购过程及供应商的管理，与供应商签定相关的双边合作协议、战略协议等。</w:t>
      </w:r>
    </w:p>
    <w:p>
      <w:pPr>
        <w:shd w:val="clear" w:color="auto" w:fill="FFFFFF"/>
        <w:spacing w:line="360" w:lineRule="auto"/>
        <w:ind w:firstLine="424" w:firstLineChars="177"/>
        <w:rPr>
          <w:rFonts w:hint="eastAsia" w:hAnsi="宋体" w:cs="Arial"/>
          <w:sz w:val="24"/>
        </w:rPr>
      </w:pPr>
      <w:r>
        <w:rPr>
          <w:sz w:val="24"/>
        </w:rPr>
        <w:t>公司严格遵守并履行合同友好协商解决纷争，以保证供应商的合理合法权益。</w:t>
      </w:r>
      <w:r>
        <w:rPr>
          <w:rFonts w:hint="eastAsia"/>
          <w:sz w:val="24"/>
        </w:rPr>
        <w:t>同时</w:t>
      </w:r>
      <w:r>
        <w:rPr>
          <w:sz w:val="24"/>
        </w:rPr>
        <w:t>发挥自身优势，协助供应商解决生产和工艺问题，实现共进、共享、共赢。</w:t>
      </w:r>
    </w:p>
    <w:p>
      <w:pPr>
        <w:pStyle w:val="46"/>
        <w:spacing w:line="360" w:lineRule="auto"/>
        <w:rPr>
          <w:rFonts w:ascii="宋体" w:hAnsi="宋体"/>
          <w:b/>
          <w:sz w:val="24"/>
          <w:szCs w:val="24"/>
        </w:rPr>
      </w:pPr>
      <w:r>
        <w:rPr>
          <w:rFonts w:hint="eastAsia" w:ascii="宋体" w:hAnsi="宋体"/>
          <w:b/>
          <w:sz w:val="24"/>
          <w:szCs w:val="24"/>
        </w:rPr>
        <w:t>2.4.2 顾客的权益保护</w:t>
      </w:r>
    </w:p>
    <w:p>
      <w:pPr>
        <w:pStyle w:val="15"/>
        <w:shd w:val="clear" w:color="auto" w:fill="FFFFFF"/>
        <w:spacing w:before="0" w:beforeAutospacing="0" w:after="0" w:afterAutospacing="0" w:line="360" w:lineRule="auto"/>
        <w:ind w:firstLine="420"/>
        <w:textAlignment w:val="baseline"/>
        <w:rPr>
          <w:rFonts w:hint="eastAsia" w:cs="Arial"/>
          <w:bCs/>
          <w:kern w:val="2"/>
        </w:rPr>
      </w:pPr>
      <w:r>
        <w:rPr>
          <w:rFonts w:hint="eastAsia" w:cs="Arial"/>
          <w:bCs/>
          <w:kern w:val="2"/>
        </w:rPr>
        <w:t>公司坚持“一切为了客户”、“为客户创造增值服务”的理念，为客户提供一流的产品品质；通过满意度调查、现场走访、客情维护、服务专线等方式建立快速响应机制与完善的服务体系；尊重客户意愿，与客户和谐发展。公司重视与客户的长期合作，公司以制度化管理为基准，导入精细化管理、绩效管理、</w:t>
      </w:r>
      <w:r>
        <w:rPr>
          <w:rFonts w:hint="eastAsia" w:cs="Arial"/>
          <w:bCs/>
          <w:kern w:val="2"/>
          <w:lang w:val="en-US" w:eastAsia="zh-CN"/>
        </w:rPr>
        <w:t>6</w:t>
      </w:r>
      <w:bookmarkStart w:id="20" w:name="_GoBack"/>
      <w:bookmarkEnd w:id="20"/>
      <w:r>
        <w:rPr>
          <w:rFonts w:hint="eastAsia" w:cs="Arial"/>
          <w:bCs/>
          <w:kern w:val="2"/>
        </w:rPr>
        <w:t>S 管理，明确公司组织架构、部门目标、岗位职责等，确保公司管理效益提升；公司引入信息化管理，建立运营管理全过程数据链，提升企业运营效率；推行智能化设备设施应用，提升产品制造精度及效率。满足顾客需求，不断追求产品升级。在大力做好先进技术的引进、消化、自主创新的同时，积极开展自主研发工作，提升技术多元化与产品的先进性。以卓越的品质、高价格性能比的产品与服务，与顾客实现双赢。</w:t>
      </w:r>
    </w:p>
    <w:p>
      <w:pPr>
        <w:shd w:val="clear" w:color="auto" w:fill="FFFFFF"/>
        <w:spacing w:line="360" w:lineRule="auto"/>
        <w:ind w:firstLine="422" w:firstLineChars="176"/>
        <w:rPr>
          <w:rFonts w:ascii="宋体" w:hAnsi="宋体"/>
          <w:color w:val="000000"/>
          <w:sz w:val="24"/>
        </w:rPr>
      </w:pPr>
      <w:r>
        <w:rPr>
          <w:rFonts w:ascii="宋体" w:hAnsi="宋体"/>
          <w:color w:val="000000"/>
          <w:sz w:val="24"/>
        </w:rPr>
        <w:t>公司一直关注顾客满意度情况，</w:t>
      </w:r>
      <w:r>
        <w:rPr>
          <w:rFonts w:hint="eastAsia" w:ascii="宋体" w:hAnsi="宋体"/>
          <w:color w:val="000000"/>
          <w:sz w:val="24"/>
          <w:lang w:eastAsia="zh-CN"/>
        </w:rPr>
        <w:t>每年定期</w:t>
      </w:r>
      <w:r>
        <w:rPr>
          <w:rFonts w:ascii="宋体" w:hAnsi="宋体"/>
          <w:color w:val="000000"/>
          <w:sz w:val="24"/>
        </w:rPr>
        <w:t>通过问卷调查和会议等途径，全方位收集顾客满意度信息并听取顾客意见</w:t>
      </w:r>
      <w:r>
        <w:rPr>
          <w:rFonts w:hint="eastAsia" w:ascii="宋体" w:hAnsi="宋体"/>
          <w:color w:val="000000"/>
          <w:sz w:val="24"/>
        </w:rPr>
        <w:t>，</w:t>
      </w:r>
      <w:r>
        <w:rPr>
          <w:rFonts w:ascii="宋体" w:hAnsi="宋体"/>
          <w:color w:val="000000"/>
          <w:sz w:val="24"/>
        </w:rPr>
        <w:t>定期整理和总结相关信息，及时反</w:t>
      </w:r>
      <w:r>
        <w:rPr>
          <w:rFonts w:hint="eastAsia" w:ascii="宋体" w:hAnsi="宋体"/>
          <w:color w:val="000000"/>
          <w:sz w:val="24"/>
        </w:rPr>
        <w:t>馈</w:t>
      </w:r>
      <w:r>
        <w:rPr>
          <w:rFonts w:ascii="宋体" w:hAnsi="宋体"/>
          <w:color w:val="000000"/>
          <w:sz w:val="24"/>
        </w:rPr>
        <w:t>到各职能部门，用于新产品开发以及质量和服务的改进。</w:t>
      </w:r>
    </w:p>
    <w:p>
      <w:pPr>
        <w:pStyle w:val="3"/>
        <w:numPr>
          <w:ilvl w:val="0"/>
          <w:numId w:val="0"/>
        </w:numPr>
        <w:spacing w:before="0" w:after="0" w:line="360" w:lineRule="auto"/>
        <w:rPr>
          <w:rFonts w:ascii="宋体" w:hAnsi="宋体"/>
        </w:rPr>
      </w:pPr>
      <w:bookmarkStart w:id="15" w:name="_Toc15215"/>
      <w:r>
        <w:rPr>
          <w:rFonts w:hint="eastAsia" w:ascii="宋体" w:hAnsi="宋体"/>
        </w:rPr>
        <w:t>2.5公共责任</w:t>
      </w:r>
      <w:r>
        <w:rPr>
          <w:rFonts w:ascii="宋体" w:hAnsi="宋体"/>
        </w:rPr>
        <w:t>和可持续发展</w:t>
      </w:r>
      <w:bookmarkEnd w:id="15"/>
    </w:p>
    <w:p>
      <w:pPr>
        <w:spacing w:line="360" w:lineRule="auto"/>
        <w:ind w:right="325" w:rightChars="155" w:firstLine="480" w:firstLineChars="200"/>
        <w:rPr>
          <w:rFonts w:hint="eastAsia"/>
          <w:sz w:val="24"/>
        </w:rPr>
      </w:pPr>
      <w:r>
        <w:rPr>
          <w:rFonts w:hint="eastAsia"/>
          <w:sz w:val="24"/>
        </w:rPr>
        <w:t>公司的产品、服务和运营主要涉及到对“环境保护、资源综合利用、安全生产、职业健康”等方面的影响，为此特建立公共责任控制体系，详见下表所示。</w:t>
      </w:r>
    </w:p>
    <w:p>
      <w:pPr>
        <w:spacing w:line="360" w:lineRule="auto"/>
        <w:jc w:val="center"/>
        <w:rPr>
          <w:rFonts w:ascii="宋体" w:hAnsi="宋体"/>
          <w:b/>
          <w:color w:val="FF0000"/>
          <w:sz w:val="24"/>
        </w:rPr>
      </w:pPr>
      <w:r>
        <w:rPr>
          <w:rFonts w:hint="eastAsia" w:ascii="宋体" w:hAnsi="宋体"/>
          <w:b/>
          <w:sz w:val="24"/>
        </w:rPr>
        <w:t>图</w:t>
      </w:r>
      <w:r>
        <w:rPr>
          <w:rFonts w:hint="eastAsia" w:ascii="宋体" w:hAnsi="宋体"/>
          <w:b/>
          <w:color w:val="000000"/>
          <w:sz w:val="24"/>
        </w:rPr>
        <w:t>表-</w:t>
      </w:r>
      <w:r>
        <w:rPr>
          <w:rFonts w:ascii="宋体" w:hAnsi="宋体"/>
          <w:b/>
          <w:color w:val="000000"/>
          <w:sz w:val="24"/>
        </w:rPr>
        <w:t>1</w:t>
      </w:r>
      <w:r>
        <w:rPr>
          <w:rFonts w:hint="eastAsia" w:ascii="宋体" w:hAnsi="宋体"/>
          <w:b/>
          <w:color w:val="000000"/>
          <w:sz w:val="24"/>
        </w:rPr>
        <w:t>0</w:t>
      </w:r>
      <w:r>
        <w:rPr>
          <w:rFonts w:ascii="宋体" w:hAnsi="宋体"/>
          <w:b/>
          <w:color w:val="000000"/>
          <w:sz w:val="24"/>
        </w:rPr>
        <w:t xml:space="preserve"> </w:t>
      </w:r>
      <w:r>
        <w:rPr>
          <w:rFonts w:hint="eastAsia" w:ascii="宋体" w:hAnsi="宋体"/>
          <w:b/>
          <w:color w:val="000000"/>
          <w:sz w:val="24"/>
        </w:rPr>
        <w:t xml:space="preserve"> </w:t>
      </w:r>
      <w:r>
        <w:rPr>
          <w:rFonts w:ascii="宋体" w:hAnsi="宋体"/>
          <w:b/>
          <w:color w:val="000000"/>
          <w:sz w:val="24"/>
        </w:rPr>
        <w:t>202</w:t>
      </w:r>
      <w:r>
        <w:rPr>
          <w:rFonts w:hint="eastAsia" w:ascii="宋体" w:hAnsi="宋体"/>
          <w:b/>
          <w:color w:val="000000"/>
          <w:sz w:val="24"/>
          <w:lang w:val="en-US" w:eastAsia="zh-CN"/>
        </w:rPr>
        <w:t>2</w:t>
      </w:r>
      <w:r>
        <w:rPr>
          <w:rFonts w:hint="eastAsia" w:ascii="宋体" w:hAnsi="宋体"/>
          <w:b/>
          <w:color w:val="000000"/>
          <w:sz w:val="24"/>
        </w:rPr>
        <w:t>年公共责任方面的控制和改进措施</w:t>
      </w:r>
    </w:p>
    <w:tbl>
      <w:tblPr>
        <w:tblStyle w:val="18"/>
        <w:tblW w:w="870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7"/>
        <w:gridCol w:w="1350"/>
        <w:gridCol w:w="637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977" w:type="dxa"/>
            <w:shd w:val="clear" w:color="auto" w:fill="FBE4D5"/>
            <w:noWrap w:val="0"/>
            <w:vAlign w:val="center"/>
          </w:tcPr>
          <w:p>
            <w:pPr>
              <w:jc w:val="center"/>
              <w:rPr>
                <w:rFonts w:ascii="宋体" w:hAnsi="宋体"/>
                <w:b/>
                <w:color w:val="000000"/>
                <w:szCs w:val="21"/>
              </w:rPr>
            </w:pPr>
            <w:r>
              <w:rPr>
                <w:rFonts w:hint="eastAsia" w:ascii="宋体" w:hAnsi="宋体"/>
                <w:b/>
                <w:color w:val="000000"/>
                <w:szCs w:val="21"/>
              </w:rPr>
              <w:t>关键</w:t>
            </w:r>
          </w:p>
          <w:p>
            <w:pPr>
              <w:jc w:val="center"/>
              <w:rPr>
                <w:rFonts w:ascii="宋体" w:hAnsi="宋体"/>
                <w:b/>
                <w:color w:val="000000"/>
                <w:szCs w:val="21"/>
              </w:rPr>
            </w:pPr>
            <w:r>
              <w:rPr>
                <w:rFonts w:hint="eastAsia" w:ascii="宋体" w:hAnsi="宋体"/>
                <w:b/>
                <w:color w:val="000000"/>
                <w:szCs w:val="21"/>
              </w:rPr>
              <w:t>过程</w:t>
            </w:r>
          </w:p>
        </w:tc>
        <w:tc>
          <w:tcPr>
            <w:tcW w:w="1350" w:type="dxa"/>
            <w:shd w:val="clear" w:color="auto" w:fill="FBE4D5"/>
            <w:noWrap w:val="0"/>
            <w:vAlign w:val="center"/>
          </w:tcPr>
          <w:p>
            <w:pPr>
              <w:jc w:val="center"/>
              <w:rPr>
                <w:rFonts w:ascii="宋体" w:hAnsi="宋体"/>
                <w:b/>
                <w:color w:val="000000"/>
                <w:szCs w:val="21"/>
              </w:rPr>
            </w:pPr>
            <w:r>
              <w:rPr>
                <w:rFonts w:hint="eastAsia" w:ascii="宋体" w:hAnsi="宋体"/>
                <w:b/>
                <w:color w:val="000000"/>
                <w:szCs w:val="21"/>
              </w:rPr>
              <w:t>重大环境因素/危险源</w:t>
            </w:r>
          </w:p>
        </w:tc>
        <w:tc>
          <w:tcPr>
            <w:tcW w:w="6379" w:type="dxa"/>
            <w:shd w:val="clear" w:color="auto" w:fill="FBE4D5"/>
            <w:noWrap w:val="0"/>
            <w:vAlign w:val="center"/>
          </w:tcPr>
          <w:p>
            <w:pPr>
              <w:jc w:val="center"/>
              <w:rPr>
                <w:rFonts w:ascii="宋体" w:hAnsi="宋体"/>
                <w:b/>
                <w:color w:val="000000"/>
                <w:szCs w:val="21"/>
              </w:rPr>
            </w:pPr>
            <w:r>
              <w:rPr>
                <w:rFonts w:hint="eastAsia" w:ascii="宋体" w:hAnsi="宋体"/>
                <w:b/>
                <w:color w:val="000000"/>
                <w:szCs w:val="21"/>
              </w:rPr>
              <w:t>主要控制/改进措施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94" w:hRule="atLeast"/>
          <w:tblHeader/>
          <w:jc w:val="center"/>
        </w:trPr>
        <w:tc>
          <w:tcPr>
            <w:tcW w:w="977" w:type="dxa"/>
            <w:noWrap w:val="0"/>
            <w:vAlign w:val="center"/>
          </w:tcPr>
          <w:p>
            <w:pPr>
              <w:jc w:val="center"/>
              <w:rPr>
                <w:rFonts w:ascii="宋体" w:hAnsi="宋体"/>
                <w:color w:val="000000"/>
                <w:szCs w:val="21"/>
              </w:rPr>
            </w:pPr>
            <w:r>
              <w:rPr>
                <w:rFonts w:hint="eastAsia" w:ascii="宋体" w:hAnsi="宋体"/>
                <w:color w:val="000000"/>
                <w:szCs w:val="21"/>
              </w:rPr>
              <w:t>产品质量安全</w:t>
            </w:r>
          </w:p>
        </w:tc>
        <w:tc>
          <w:tcPr>
            <w:tcW w:w="1350" w:type="dxa"/>
            <w:noWrap w:val="0"/>
            <w:vAlign w:val="center"/>
          </w:tcPr>
          <w:p>
            <w:pPr>
              <w:jc w:val="left"/>
              <w:rPr>
                <w:rFonts w:ascii="宋体" w:hAnsi="宋体"/>
                <w:color w:val="000000"/>
                <w:szCs w:val="21"/>
              </w:rPr>
            </w:pPr>
            <w:r>
              <w:rPr>
                <w:rFonts w:hint="eastAsia" w:ascii="宋体" w:hAnsi="宋体"/>
                <w:color w:val="000000"/>
                <w:szCs w:val="21"/>
              </w:rPr>
              <w:t>各类影响安全的故障</w:t>
            </w:r>
          </w:p>
        </w:tc>
        <w:tc>
          <w:tcPr>
            <w:tcW w:w="6379" w:type="dxa"/>
            <w:noWrap w:val="0"/>
            <w:vAlign w:val="center"/>
          </w:tcPr>
          <w:p>
            <w:pPr>
              <w:jc w:val="left"/>
              <w:rPr>
                <w:rFonts w:ascii="宋体" w:hAnsi="宋体"/>
                <w:color w:val="000000"/>
                <w:szCs w:val="21"/>
              </w:rPr>
            </w:pPr>
            <w:r>
              <w:rPr>
                <w:rFonts w:hint="eastAsia" w:ascii="宋体" w:hAnsi="宋体"/>
                <w:color w:val="000000"/>
                <w:szCs w:val="21"/>
              </w:rPr>
              <w:t>产品严格执行国家标准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977" w:type="dxa"/>
            <w:noWrap w:val="0"/>
            <w:vAlign w:val="center"/>
          </w:tcPr>
          <w:p>
            <w:pPr>
              <w:jc w:val="center"/>
              <w:rPr>
                <w:rFonts w:ascii="宋体" w:hAnsi="宋体"/>
                <w:color w:val="000000"/>
                <w:szCs w:val="21"/>
              </w:rPr>
            </w:pPr>
            <w:r>
              <w:rPr>
                <w:rFonts w:hint="eastAsia" w:ascii="宋体" w:hAnsi="宋体"/>
                <w:color w:val="000000"/>
                <w:szCs w:val="21"/>
              </w:rPr>
              <w:t>资源综合利用</w:t>
            </w:r>
          </w:p>
        </w:tc>
        <w:tc>
          <w:tcPr>
            <w:tcW w:w="1350" w:type="dxa"/>
            <w:noWrap w:val="0"/>
            <w:vAlign w:val="center"/>
          </w:tcPr>
          <w:p>
            <w:pPr>
              <w:jc w:val="left"/>
              <w:rPr>
                <w:rFonts w:ascii="宋体" w:hAnsi="宋体"/>
                <w:color w:val="000000"/>
                <w:szCs w:val="21"/>
              </w:rPr>
            </w:pPr>
            <w:r>
              <w:rPr>
                <w:rFonts w:hint="eastAsia" w:ascii="宋体" w:hAnsi="宋体"/>
                <w:color w:val="000000"/>
                <w:szCs w:val="21"/>
              </w:rPr>
              <w:t>废料</w:t>
            </w:r>
          </w:p>
        </w:tc>
        <w:tc>
          <w:tcPr>
            <w:tcW w:w="6379" w:type="dxa"/>
            <w:noWrap w:val="0"/>
            <w:vAlign w:val="center"/>
          </w:tcPr>
          <w:p>
            <w:pPr>
              <w:jc w:val="left"/>
              <w:rPr>
                <w:rFonts w:ascii="宋体" w:hAnsi="宋体"/>
                <w:color w:val="000000"/>
                <w:szCs w:val="21"/>
              </w:rPr>
            </w:pPr>
            <w:r>
              <w:rPr>
                <w:rFonts w:ascii="宋体" w:hAnsi="宋体"/>
                <w:color w:val="000000"/>
                <w:szCs w:val="21"/>
              </w:rPr>
              <w:t>1.</w:t>
            </w:r>
            <w:r>
              <w:rPr>
                <w:rFonts w:hint="eastAsia" w:ascii="宋体" w:hAnsi="宋体"/>
                <w:color w:val="000000"/>
                <w:szCs w:val="21"/>
              </w:rPr>
              <w:t>改善</w:t>
            </w:r>
            <w:r>
              <w:rPr>
                <w:rFonts w:ascii="宋体" w:hAnsi="宋体"/>
                <w:color w:val="000000"/>
                <w:szCs w:val="21"/>
              </w:rPr>
              <w:t>一般固废存储场地</w:t>
            </w:r>
            <w:r>
              <w:rPr>
                <w:rFonts w:hint="eastAsia" w:ascii="宋体" w:hAnsi="宋体"/>
                <w:color w:val="000000"/>
                <w:szCs w:val="21"/>
              </w:rPr>
              <w:t>；</w:t>
            </w:r>
          </w:p>
          <w:p>
            <w:pPr>
              <w:jc w:val="left"/>
              <w:rPr>
                <w:rFonts w:hint="eastAsia" w:ascii="宋体" w:hAnsi="宋体"/>
                <w:color w:val="000000"/>
                <w:szCs w:val="21"/>
              </w:rPr>
            </w:pPr>
            <w:r>
              <w:rPr>
                <w:rFonts w:ascii="宋体" w:hAnsi="宋体"/>
                <w:color w:val="000000"/>
                <w:szCs w:val="21"/>
              </w:rPr>
              <w:t>2.</w:t>
            </w:r>
            <w:r>
              <w:rPr>
                <w:rFonts w:hint="eastAsia" w:ascii="宋体" w:hAnsi="宋体"/>
                <w:color w:val="000000"/>
                <w:szCs w:val="21"/>
              </w:rPr>
              <w:t>有兼职管理人员分管固</w:t>
            </w:r>
            <w:r>
              <w:rPr>
                <w:rFonts w:ascii="宋体" w:hAnsi="宋体"/>
                <w:color w:val="000000"/>
                <w:szCs w:val="21"/>
              </w:rPr>
              <w:t>废</w:t>
            </w:r>
            <w:r>
              <w:rPr>
                <w:rFonts w:hint="eastAsia" w:ascii="宋体" w:hAnsi="宋体"/>
                <w:color w:val="000000"/>
                <w:szCs w:val="21"/>
              </w:rPr>
              <w:t>，及时联系环卫部门清理固</w:t>
            </w:r>
            <w:r>
              <w:rPr>
                <w:rFonts w:ascii="宋体" w:hAnsi="宋体"/>
                <w:color w:val="000000"/>
                <w:szCs w:val="21"/>
              </w:rPr>
              <w:t>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77" w:type="dxa"/>
            <w:vMerge w:val="restart"/>
            <w:noWrap w:val="0"/>
            <w:vAlign w:val="center"/>
          </w:tcPr>
          <w:p>
            <w:pPr>
              <w:jc w:val="both"/>
              <w:rPr>
                <w:rFonts w:ascii="宋体" w:hAnsi="宋体"/>
                <w:color w:val="FF0000"/>
                <w:szCs w:val="21"/>
              </w:rPr>
            </w:pPr>
            <w:r>
              <w:rPr>
                <w:rFonts w:hint="eastAsia" w:ascii="宋体" w:hAnsi="宋体"/>
                <w:color w:val="000000"/>
                <w:szCs w:val="21"/>
              </w:rPr>
              <w:t>环境保护</w:t>
            </w:r>
          </w:p>
        </w:tc>
        <w:tc>
          <w:tcPr>
            <w:tcW w:w="1350" w:type="dxa"/>
            <w:noWrap w:val="0"/>
            <w:vAlign w:val="center"/>
          </w:tcPr>
          <w:p>
            <w:pPr>
              <w:rPr>
                <w:rFonts w:ascii="宋体" w:hAnsi="宋体"/>
                <w:color w:val="000000"/>
                <w:szCs w:val="21"/>
              </w:rPr>
            </w:pPr>
            <w:r>
              <w:rPr>
                <w:rFonts w:hint="eastAsia" w:ascii="宋体" w:hAnsi="宋体"/>
                <w:color w:val="000000"/>
                <w:szCs w:val="21"/>
              </w:rPr>
              <w:t>废水</w:t>
            </w:r>
          </w:p>
        </w:tc>
        <w:tc>
          <w:tcPr>
            <w:tcW w:w="6379" w:type="dxa"/>
            <w:noWrap w:val="0"/>
            <w:vAlign w:val="center"/>
          </w:tcPr>
          <w:p>
            <w:pPr>
              <w:rPr>
                <w:rFonts w:ascii="宋体" w:hAnsi="宋体"/>
                <w:color w:val="000000"/>
                <w:szCs w:val="21"/>
              </w:rPr>
            </w:pPr>
            <w:r>
              <w:rPr>
                <w:rFonts w:hint="eastAsia" w:ascii="宋体" w:hAnsi="宋体"/>
                <w:color w:val="000000"/>
                <w:szCs w:val="21"/>
              </w:rPr>
              <w:t>1</w:t>
            </w:r>
            <w:r>
              <w:rPr>
                <w:rFonts w:ascii="宋体" w:hAnsi="宋体"/>
                <w:color w:val="000000"/>
                <w:szCs w:val="21"/>
              </w:rPr>
              <w:t>.</w:t>
            </w:r>
            <w:r>
              <w:rPr>
                <w:rFonts w:hint="eastAsia" w:ascii="宋体" w:hAnsi="宋体"/>
                <w:color w:val="000000"/>
                <w:szCs w:val="21"/>
              </w:rPr>
              <w:t>厂区实行雨污分流</w:t>
            </w:r>
          </w:p>
          <w:p>
            <w:pPr>
              <w:rPr>
                <w:rFonts w:ascii="宋体" w:hAnsi="宋体"/>
                <w:color w:val="000000"/>
                <w:szCs w:val="21"/>
              </w:rPr>
            </w:pPr>
            <w:r>
              <w:rPr>
                <w:rFonts w:hint="eastAsia" w:ascii="宋体" w:hAnsi="宋体"/>
                <w:color w:val="000000"/>
                <w:szCs w:val="21"/>
              </w:rPr>
              <w:t>2</w:t>
            </w:r>
            <w:r>
              <w:rPr>
                <w:rFonts w:ascii="宋体" w:hAnsi="宋体"/>
                <w:color w:val="000000"/>
                <w:szCs w:val="21"/>
              </w:rPr>
              <w:t>.</w:t>
            </w:r>
            <w:r>
              <w:rPr>
                <w:rFonts w:hint="eastAsia" w:ascii="宋体" w:hAnsi="宋体"/>
                <w:color w:val="000000"/>
                <w:szCs w:val="21"/>
              </w:rPr>
              <w:t>产品清洗</w:t>
            </w:r>
            <w:r>
              <w:rPr>
                <w:rFonts w:ascii="宋体" w:hAnsi="宋体"/>
                <w:color w:val="000000"/>
                <w:szCs w:val="21"/>
              </w:rPr>
              <w:t>废水经公司污水处理池处理后达标排放到市政污水管网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2" w:hRule="atLeast"/>
          <w:jc w:val="center"/>
        </w:trPr>
        <w:tc>
          <w:tcPr>
            <w:tcW w:w="977" w:type="dxa"/>
            <w:vMerge w:val="continue"/>
            <w:noWrap w:val="0"/>
            <w:vAlign w:val="center"/>
          </w:tcPr>
          <w:p>
            <w:pPr>
              <w:rPr>
                <w:rFonts w:ascii="宋体" w:hAnsi="宋体"/>
                <w:color w:val="FF0000"/>
                <w:szCs w:val="21"/>
              </w:rPr>
            </w:pPr>
          </w:p>
        </w:tc>
        <w:tc>
          <w:tcPr>
            <w:tcW w:w="1350" w:type="dxa"/>
            <w:noWrap w:val="0"/>
            <w:vAlign w:val="center"/>
          </w:tcPr>
          <w:p>
            <w:pPr>
              <w:rPr>
                <w:rFonts w:ascii="宋体" w:hAnsi="宋体"/>
                <w:color w:val="000000"/>
                <w:szCs w:val="21"/>
              </w:rPr>
            </w:pPr>
            <w:r>
              <w:rPr>
                <w:rFonts w:hint="eastAsia" w:ascii="宋体" w:hAnsi="宋体"/>
                <w:color w:val="000000"/>
                <w:szCs w:val="21"/>
              </w:rPr>
              <w:t>废气（P</w:t>
            </w:r>
            <w:r>
              <w:rPr>
                <w:rFonts w:ascii="宋体" w:hAnsi="宋体"/>
                <w:color w:val="000000"/>
                <w:szCs w:val="21"/>
              </w:rPr>
              <w:t>CBA</w:t>
            </w:r>
            <w:r>
              <w:rPr>
                <w:rFonts w:hint="eastAsia" w:ascii="宋体" w:hAnsi="宋体"/>
                <w:color w:val="000000"/>
                <w:szCs w:val="21"/>
              </w:rPr>
              <w:t>）</w:t>
            </w:r>
          </w:p>
        </w:tc>
        <w:tc>
          <w:tcPr>
            <w:tcW w:w="6379" w:type="dxa"/>
            <w:noWrap w:val="0"/>
            <w:vAlign w:val="center"/>
          </w:tcPr>
          <w:p>
            <w:pPr>
              <w:numPr>
                <w:ilvl w:val="0"/>
                <w:numId w:val="6"/>
              </w:numPr>
              <w:rPr>
                <w:rFonts w:hint="eastAsia" w:ascii="宋体" w:hAnsi="宋体"/>
                <w:bCs/>
                <w:szCs w:val="24"/>
                <w:lang w:eastAsia="zh-CN"/>
              </w:rPr>
            </w:pPr>
            <w:r>
              <w:rPr>
                <w:rFonts w:hint="eastAsia" w:ascii="宋体" w:hAnsi="宋体"/>
                <w:bCs/>
                <w:szCs w:val="24"/>
                <w:lang w:eastAsia="zh-CN"/>
              </w:rPr>
              <w:t>工业废气</w:t>
            </w:r>
            <w:r>
              <w:rPr>
                <w:rFonts w:hint="eastAsia" w:ascii="宋体" w:hAnsi="宋体"/>
                <w:bCs/>
                <w:szCs w:val="24"/>
              </w:rPr>
              <w:t>采取喷淋+光催化技术对有机废气进行处理</w:t>
            </w:r>
            <w:r>
              <w:rPr>
                <w:rFonts w:hint="eastAsia" w:ascii="宋体" w:hAnsi="宋体"/>
                <w:bCs/>
                <w:szCs w:val="24"/>
                <w:lang w:eastAsia="zh-CN"/>
              </w:rPr>
              <w:t>，并通过一定高度排气筒排放</w:t>
            </w:r>
          </w:p>
          <w:p>
            <w:pPr>
              <w:numPr>
                <w:ilvl w:val="0"/>
                <w:numId w:val="6"/>
              </w:numPr>
              <w:rPr>
                <w:rFonts w:hint="eastAsia" w:ascii="宋体" w:hAnsi="宋体"/>
                <w:bCs/>
                <w:szCs w:val="24"/>
                <w:lang w:val="en-US" w:eastAsia="zh-CN"/>
              </w:rPr>
            </w:pPr>
            <w:r>
              <w:rPr>
                <w:rFonts w:hint="eastAsia" w:ascii="宋体" w:hAnsi="宋体"/>
                <w:color w:val="000000"/>
                <w:szCs w:val="21"/>
              </w:rPr>
              <w:t>定期</w:t>
            </w:r>
            <w:r>
              <w:rPr>
                <w:rFonts w:ascii="宋体" w:hAnsi="宋体"/>
                <w:color w:val="000000"/>
                <w:szCs w:val="21"/>
              </w:rPr>
              <w:t>开展废气检测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977" w:type="dxa"/>
            <w:vMerge w:val="continue"/>
            <w:noWrap w:val="0"/>
            <w:vAlign w:val="center"/>
          </w:tcPr>
          <w:p>
            <w:pPr>
              <w:rPr>
                <w:rFonts w:ascii="宋体" w:hAnsi="宋体"/>
                <w:color w:val="FF0000"/>
                <w:szCs w:val="21"/>
              </w:rPr>
            </w:pPr>
          </w:p>
        </w:tc>
        <w:tc>
          <w:tcPr>
            <w:tcW w:w="1350" w:type="dxa"/>
            <w:noWrap w:val="0"/>
            <w:vAlign w:val="center"/>
          </w:tcPr>
          <w:p>
            <w:pPr>
              <w:rPr>
                <w:rFonts w:ascii="宋体" w:hAnsi="宋体"/>
                <w:color w:val="000000"/>
                <w:szCs w:val="21"/>
              </w:rPr>
            </w:pPr>
            <w:r>
              <w:rPr>
                <w:rFonts w:hint="eastAsia" w:ascii="宋体" w:hAnsi="宋体"/>
                <w:color w:val="000000"/>
                <w:szCs w:val="21"/>
              </w:rPr>
              <w:t>厂界噪声</w:t>
            </w:r>
          </w:p>
        </w:tc>
        <w:tc>
          <w:tcPr>
            <w:tcW w:w="6379" w:type="dxa"/>
            <w:noWrap w:val="0"/>
            <w:vAlign w:val="center"/>
          </w:tcPr>
          <w:p>
            <w:pPr>
              <w:rPr>
                <w:rFonts w:hint="eastAsia" w:ascii="宋体" w:hAnsi="宋体"/>
                <w:color w:val="000000"/>
                <w:szCs w:val="21"/>
              </w:rPr>
            </w:pPr>
            <w:r>
              <w:rPr>
                <w:rFonts w:ascii="宋体" w:hAnsi="宋体"/>
                <w:color w:val="000000"/>
                <w:szCs w:val="21"/>
              </w:rPr>
              <w:t>1.</w:t>
            </w:r>
            <w:r>
              <w:rPr>
                <w:rFonts w:hint="eastAsia" w:ascii="宋体" w:hAnsi="宋体"/>
                <w:color w:val="000000"/>
                <w:szCs w:val="21"/>
              </w:rPr>
              <w:t>对产生</w:t>
            </w:r>
            <w:r>
              <w:rPr>
                <w:rFonts w:ascii="宋体" w:hAnsi="宋体"/>
                <w:color w:val="000000"/>
                <w:szCs w:val="21"/>
              </w:rPr>
              <w:t>较大噪音的设备</w:t>
            </w:r>
            <w:r>
              <w:rPr>
                <w:rFonts w:hint="eastAsia" w:ascii="宋体" w:hAnsi="宋体"/>
                <w:color w:val="000000"/>
                <w:szCs w:val="21"/>
              </w:rPr>
              <w:t>、</w:t>
            </w:r>
            <w:r>
              <w:rPr>
                <w:rFonts w:ascii="宋体" w:hAnsi="宋体"/>
                <w:color w:val="000000"/>
                <w:szCs w:val="21"/>
              </w:rPr>
              <w:t>场所，采取隔音</w:t>
            </w:r>
            <w:r>
              <w:rPr>
                <w:rFonts w:hint="eastAsia" w:ascii="宋体" w:hAnsi="宋体"/>
                <w:color w:val="000000"/>
                <w:szCs w:val="21"/>
                <w:lang w:eastAsia="zh-CN"/>
              </w:rPr>
              <w:t>防震</w:t>
            </w:r>
            <w:r>
              <w:rPr>
                <w:rFonts w:ascii="宋体" w:hAnsi="宋体"/>
                <w:color w:val="000000"/>
                <w:szCs w:val="21"/>
              </w:rPr>
              <w:t>措施</w:t>
            </w:r>
            <w:r>
              <w:rPr>
                <w:rFonts w:hint="eastAsia" w:ascii="宋体" w:hAnsi="宋体"/>
                <w:color w:val="000000"/>
                <w:szCs w:val="21"/>
              </w:rPr>
              <w:t>；</w:t>
            </w:r>
          </w:p>
          <w:p>
            <w:pPr>
              <w:rPr>
                <w:rFonts w:hint="eastAsia" w:ascii="宋体" w:hAnsi="宋体"/>
                <w:color w:val="000000"/>
                <w:szCs w:val="21"/>
              </w:rPr>
            </w:pPr>
            <w:r>
              <w:rPr>
                <w:rFonts w:ascii="宋体" w:hAnsi="宋体"/>
                <w:color w:val="000000"/>
                <w:szCs w:val="21"/>
              </w:rPr>
              <w:t>2.</w:t>
            </w:r>
            <w:r>
              <w:rPr>
                <w:rFonts w:hint="eastAsia" w:ascii="宋体" w:hAnsi="宋体"/>
                <w:color w:val="000000"/>
                <w:szCs w:val="21"/>
                <w:lang w:eastAsia="zh-CN"/>
              </w:rPr>
              <w:t>生产</w:t>
            </w:r>
            <w:r>
              <w:rPr>
                <w:rFonts w:hint="eastAsia" w:ascii="宋体" w:hAnsi="宋体"/>
                <w:color w:val="000000"/>
                <w:szCs w:val="21"/>
              </w:rPr>
              <w:t>现场</w:t>
            </w:r>
            <w:r>
              <w:rPr>
                <w:rFonts w:ascii="宋体" w:hAnsi="宋体"/>
                <w:color w:val="000000"/>
                <w:szCs w:val="21"/>
              </w:rPr>
              <w:t>为员工配置耳</w:t>
            </w:r>
            <w:r>
              <w:rPr>
                <w:rFonts w:hint="eastAsia" w:ascii="宋体" w:hAnsi="宋体"/>
                <w:color w:val="000000"/>
                <w:szCs w:val="21"/>
              </w:rPr>
              <w:t>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77" w:type="dxa"/>
            <w:vMerge w:val="continue"/>
            <w:noWrap w:val="0"/>
            <w:vAlign w:val="center"/>
          </w:tcPr>
          <w:p>
            <w:pPr>
              <w:rPr>
                <w:rFonts w:ascii="宋体" w:hAnsi="宋体"/>
                <w:color w:val="FF0000"/>
                <w:szCs w:val="21"/>
              </w:rPr>
            </w:pPr>
          </w:p>
        </w:tc>
        <w:tc>
          <w:tcPr>
            <w:tcW w:w="1350" w:type="dxa"/>
            <w:noWrap w:val="0"/>
            <w:vAlign w:val="center"/>
          </w:tcPr>
          <w:p>
            <w:pPr>
              <w:rPr>
                <w:rFonts w:ascii="宋体" w:hAnsi="宋体"/>
                <w:color w:val="000000"/>
                <w:szCs w:val="21"/>
              </w:rPr>
            </w:pPr>
            <w:r>
              <w:rPr>
                <w:rFonts w:hint="eastAsia" w:ascii="宋体" w:hAnsi="宋体"/>
                <w:color w:val="000000"/>
                <w:szCs w:val="21"/>
              </w:rPr>
              <w:t>危险固废</w:t>
            </w:r>
          </w:p>
        </w:tc>
        <w:tc>
          <w:tcPr>
            <w:tcW w:w="6379" w:type="dxa"/>
            <w:noWrap w:val="0"/>
            <w:vAlign w:val="center"/>
          </w:tcPr>
          <w:p>
            <w:pPr>
              <w:rPr>
                <w:rFonts w:hint="eastAsia" w:ascii="宋体" w:hAnsi="宋体"/>
                <w:color w:val="000000"/>
                <w:szCs w:val="21"/>
              </w:rPr>
            </w:pPr>
            <w:r>
              <w:rPr>
                <w:rFonts w:hint="eastAsia" w:ascii="宋体" w:hAnsi="宋体"/>
                <w:color w:val="000000"/>
                <w:szCs w:val="21"/>
              </w:rPr>
              <w:t>极少量办公、设备维修危险固废，采取供应商回收、临时收纳处理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77" w:type="dxa"/>
            <w:vMerge w:val="continue"/>
            <w:noWrap w:val="0"/>
            <w:vAlign w:val="center"/>
          </w:tcPr>
          <w:p>
            <w:pPr>
              <w:jc w:val="center"/>
              <w:rPr>
                <w:rFonts w:ascii="宋体" w:hAnsi="宋体"/>
                <w:color w:val="FF0000"/>
                <w:szCs w:val="21"/>
              </w:rPr>
            </w:pPr>
          </w:p>
        </w:tc>
        <w:tc>
          <w:tcPr>
            <w:tcW w:w="1350" w:type="dxa"/>
            <w:noWrap w:val="0"/>
            <w:vAlign w:val="center"/>
          </w:tcPr>
          <w:p>
            <w:pPr>
              <w:rPr>
                <w:rFonts w:ascii="宋体" w:hAnsi="宋体"/>
                <w:color w:val="000000"/>
                <w:szCs w:val="21"/>
              </w:rPr>
            </w:pPr>
            <w:r>
              <w:rPr>
                <w:rFonts w:hint="eastAsia" w:ascii="宋体" w:hAnsi="宋体"/>
                <w:color w:val="000000"/>
                <w:szCs w:val="21"/>
              </w:rPr>
              <w:t>水消耗、电消耗</w:t>
            </w:r>
          </w:p>
        </w:tc>
        <w:tc>
          <w:tcPr>
            <w:tcW w:w="6379" w:type="dxa"/>
            <w:noWrap w:val="0"/>
            <w:vAlign w:val="center"/>
          </w:tcPr>
          <w:p>
            <w:pPr>
              <w:rPr>
                <w:rFonts w:ascii="宋体" w:hAnsi="宋体"/>
                <w:color w:val="000000"/>
                <w:szCs w:val="21"/>
              </w:rPr>
            </w:pPr>
            <w:r>
              <w:rPr>
                <w:rFonts w:hint="eastAsia" w:ascii="宋体" w:hAnsi="宋体"/>
                <w:color w:val="000000"/>
                <w:szCs w:val="21"/>
              </w:rPr>
              <w:t>1</w:t>
            </w:r>
            <w:r>
              <w:rPr>
                <w:rFonts w:ascii="宋体" w:hAnsi="宋体"/>
                <w:color w:val="000000"/>
                <w:szCs w:val="21"/>
              </w:rPr>
              <w:t>.</w:t>
            </w:r>
            <w:r>
              <w:rPr>
                <w:rFonts w:hint="eastAsia" w:ascii="宋体" w:hAnsi="宋体"/>
                <w:color w:val="000000"/>
                <w:szCs w:val="21"/>
              </w:rPr>
              <w:t>严格执行用水用电管理制度并加强考核</w:t>
            </w:r>
          </w:p>
          <w:p>
            <w:pPr>
              <w:rPr>
                <w:rFonts w:ascii="宋体" w:hAnsi="宋体"/>
                <w:color w:val="000000"/>
                <w:szCs w:val="21"/>
              </w:rPr>
            </w:pPr>
            <w:r>
              <w:rPr>
                <w:rFonts w:hint="eastAsia" w:ascii="宋体" w:hAnsi="宋体"/>
                <w:color w:val="000000"/>
                <w:szCs w:val="21"/>
              </w:rPr>
              <w:t>2</w:t>
            </w:r>
            <w:r>
              <w:rPr>
                <w:rFonts w:ascii="宋体" w:hAnsi="宋体"/>
                <w:color w:val="000000"/>
                <w:szCs w:val="21"/>
              </w:rPr>
              <w:t>.</w:t>
            </w:r>
            <w:r>
              <w:rPr>
                <w:rFonts w:hint="eastAsia" w:ascii="宋体" w:hAnsi="宋体"/>
                <w:color w:val="000000"/>
                <w:szCs w:val="21"/>
              </w:rPr>
              <w:t>增加硬水回收</w:t>
            </w:r>
            <w:r>
              <w:rPr>
                <w:rFonts w:ascii="宋体" w:hAnsi="宋体"/>
                <w:color w:val="000000"/>
                <w:szCs w:val="21"/>
              </w:rPr>
              <w:t>利用</w:t>
            </w:r>
          </w:p>
          <w:p>
            <w:pPr>
              <w:rPr>
                <w:rFonts w:hint="eastAsia" w:ascii="宋体" w:hAnsi="宋体"/>
                <w:color w:val="000000"/>
                <w:szCs w:val="21"/>
              </w:rPr>
            </w:pPr>
            <w:r>
              <w:rPr>
                <w:rFonts w:hint="eastAsia" w:ascii="宋体" w:hAnsi="宋体"/>
                <w:color w:val="000000"/>
                <w:szCs w:val="21"/>
              </w:rPr>
              <w:t>3</w:t>
            </w:r>
            <w:r>
              <w:rPr>
                <w:rFonts w:ascii="宋体" w:hAnsi="宋体"/>
                <w:color w:val="000000"/>
                <w:szCs w:val="21"/>
              </w:rPr>
              <w:t>.</w:t>
            </w:r>
            <w:r>
              <w:rPr>
                <w:rFonts w:hint="eastAsia" w:ascii="宋体" w:hAnsi="宋体"/>
                <w:color w:val="000000"/>
                <w:szCs w:val="21"/>
              </w:rPr>
              <w:t>做好用电用水设施维护保养</w:t>
            </w:r>
          </w:p>
          <w:p>
            <w:pPr>
              <w:rPr>
                <w:rFonts w:hint="eastAsia" w:ascii="宋体" w:hAnsi="宋体"/>
                <w:color w:val="000000"/>
                <w:szCs w:val="21"/>
              </w:rPr>
            </w:pPr>
            <w:r>
              <w:rPr>
                <w:rFonts w:ascii="宋体" w:hAnsi="宋体"/>
                <w:color w:val="000000"/>
                <w:szCs w:val="21"/>
              </w:rPr>
              <w:t>4.</w:t>
            </w:r>
            <w:r>
              <w:rPr>
                <w:rFonts w:hint="eastAsia" w:ascii="宋体" w:hAnsi="宋体"/>
                <w:color w:val="000000"/>
                <w:szCs w:val="21"/>
              </w:rPr>
              <w:t>设备设施改造时用低能耗产品，</w:t>
            </w:r>
            <w:r>
              <w:rPr>
                <w:rFonts w:ascii="宋体" w:hAnsi="宋体"/>
                <w:color w:val="000000"/>
                <w:szCs w:val="21"/>
              </w:rPr>
              <w:t>如：将节能灯改为</w:t>
            </w:r>
            <w:r>
              <w:rPr>
                <w:rFonts w:hint="eastAsia" w:ascii="宋体" w:hAnsi="宋体"/>
                <w:color w:val="000000"/>
                <w:szCs w:val="21"/>
              </w:rPr>
              <w:t>LED灯等</w:t>
            </w:r>
            <w:r>
              <w:rPr>
                <w:rFonts w:ascii="宋体" w:hAnsi="宋体"/>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77" w:type="dxa"/>
            <w:noWrap w:val="0"/>
            <w:vAlign w:val="center"/>
          </w:tcPr>
          <w:p>
            <w:pPr>
              <w:jc w:val="center"/>
              <w:rPr>
                <w:rFonts w:ascii="宋体" w:hAnsi="宋体"/>
                <w:color w:val="000000"/>
                <w:szCs w:val="21"/>
              </w:rPr>
            </w:pPr>
            <w:r>
              <w:rPr>
                <w:rFonts w:hint="eastAsia" w:ascii="宋体" w:hAnsi="宋体"/>
                <w:color w:val="000000"/>
                <w:szCs w:val="21"/>
              </w:rPr>
              <w:t>安全</w:t>
            </w:r>
          </w:p>
          <w:p>
            <w:pPr>
              <w:jc w:val="center"/>
              <w:rPr>
                <w:rFonts w:ascii="宋体" w:hAnsi="宋体"/>
                <w:color w:val="000000"/>
                <w:szCs w:val="21"/>
              </w:rPr>
            </w:pPr>
            <w:r>
              <w:rPr>
                <w:rFonts w:hint="eastAsia" w:ascii="宋体" w:hAnsi="宋体"/>
                <w:color w:val="000000"/>
                <w:szCs w:val="21"/>
              </w:rPr>
              <w:t>生产</w:t>
            </w:r>
          </w:p>
        </w:tc>
        <w:tc>
          <w:tcPr>
            <w:tcW w:w="1350" w:type="dxa"/>
            <w:noWrap w:val="0"/>
            <w:vAlign w:val="center"/>
          </w:tcPr>
          <w:p>
            <w:pPr>
              <w:rPr>
                <w:rFonts w:ascii="宋体" w:hAnsi="宋体"/>
                <w:color w:val="000000"/>
                <w:szCs w:val="21"/>
              </w:rPr>
            </w:pPr>
            <w:r>
              <w:rPr>
                <w:rFonts w:hint="eastAsia" w:ascii="宋体" w:hAnsi="宋体"/>
                <w:color w:val="000000"/>
                <w:szCs w:val="21"/>
              </w:rPr>
              <w:t>各类事故</w:t>
            </w:r>
          </w:p>
        </w:tc>
        <w:tc>
          <w:tcPr>
            <w:tcW w:w="6379" w:type="dxa"/>
            <w:noWrap w:val="0"/>
            <w:vAlign w:val="center"/>
          </w:tcPr>
          <w:p>
            <w:pPr>
              <w:rPr>
                <w:rFonts w:ascii="宋体" w:hAnsi="宋体"/>
                <w:color w:val="000000"/>
                <w:szCs w:val="21"/>
              </w:rPr>
            </w:pPr>
            <w:r>
              <w:rPr>
                <w:rFonts w:ascii="宋体" w:hAnsi="宋体"/>
                <w:color w:val="000000"/>
                <w:szCs w:val="21"/>
              </w:rPr>
              <w:t>1.</w:t>
            </w:r>
            <w:r>
              <w:rPr>
                <w:rFonts w:hint="eastAsia" w:ascii="宋体" w:hAnsi="宋体"/>
                <w:color w:val="000000"/>
                <w:szCs w:val="21"/>
              </w:rPr>
              <w:t>与各部门、</w:t>
            </w:r>
            <w:r>
              <w:rPr>
                <w:rFonts w:ascii="宋体" w:hAnsi="宋体"/>
                <w:color w:val="000000"/>
                <w:szCs w:val="21"/>
              </w:rPr>
              <w:t>班组等层层签署</w:t>
            </w:r>
            <w:r>
              <w:rPr>
                <w:rFonts w:hint="eastAsia" w:ascii="宋体" w:hAnsi="宋体"/>
                <w:color w:val="000000"/>
                <w:szCs w:val="21"/>
              </w:rPr>
              <w:t>安全生产目标管理责任书</w:t>
            </w:r>
          </w:p>
          <w:p>
            <w:pPr>
              <w:rPr>
                <w:rFonts w:hint="eastAsia" w:ascii="宋体" w:hAnsi="宋体"/>
                <w:color w:val="000000"/>
                <w:szCs w:val="21"/>
              </w:rPr>
            </w:pPr>
            <w:r>
              <w:rPr>
                <w:rFonts w:hint="eastAsia" w:ascii="宋体" w:hAnsi="宋体"/>
                <w:color w:val="000000"/>
                <w:szCs w:val="21"/>
              </w:rPr>
              <w:t>2</w:t>
            </w:r>
            <w:r>
              <w:rPr>
                <w:rFonts w:ascii="宋体" w:hAnsi="宋体"/>
                <w:color w:val="000000"/>
                <w:szCs w:val="21"/>
              </w:rPr>
              <w:t>.</w:t>
            </w:r>
            <w:r>
              <w:rPr>
                <w:rFonts w:hint="eastAsia" w:ascii="宋体" w:hAnsi="宋体"/>
                <w:color w:val="000000"/>
                <w:szCs w:val="21"/>
              </w:rPr>
              <w:t>每月开展安全</w:t>
            </w:r>
            <w:r>
              <w:rPr>
                <w:rFonts w:ascii="宋体" w:hAnsi="宋体"/>
                <w:color w:val="000000"/>
                <w:szCs w:val="21"/>
              </w:rPr>
              <w:t>生产综合检查和安全生产会议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06" w:hRule="atLeast"/>
          <w:jc w:val="center"/>
        </w:trPr>
        <w:tc>
          <w:tcPr>
            <w:tcW w:w="977" w:type="dxa"/>
            <w:vMerge w:val="restart"/>
            <w:noWrap w:val="0"/>
            <w:vAlign w:val="center"/>
          </w:tcPr>
          <w:p>
            <w:pPr>
              <w:rPr>
                <w:rFonts w:ascii="宋体" w:hAnsi="宋体"/>
                <w:color w:val="000000"/>
                <w:szCs w:val="21"/>
              </w:rPr>
            </w:pPr>
            <w:r>
              <w:rPr>
                <w:rFonts w:hint="eastAsia" w:ascii="宋体" w:hAnsi="宋体"/>
                <w:color w:val="000000"/>
                <w:szCs w:val="21"/>
              </w:rPr>
              <w:t>公共卫生</w:t>
            </w:r>
          </w:p>
        </w:tc>
        <w:tc>
          <w:tcPr>
            <w:tcW w:w="1350" w:type="dxa"/>
            <w:noWrap w:val="0"/>
            <w:vAlign w:val="center"/>
          </w:tcPr>
          <w:p>
            <w:pPr>
              <w:rPr>
                <w:rFonts w:ascii="宋体" w:hAnsi="宋体"/>
                <w:color w:val="000000"/>
                <w:szCs w:val="21"/>
              </w:rPr>
            </w:pPr>
            <w:r>
              <w:rPr>
                <w:rFonts w:hint="eastAsia" w:ascii="宋体" w:hAnsi="宋体"/>
                <w:color w:val="000000"/>
                <w:szCs w:val="21"/>
              </w:rPr>
              <w:t>噪声</w:t>
            </w:r>
          </w:p>
        </w:tc>
        <w:tc>
          <w:tcPr>
            <w:tcW w:w="6379" w:type="dxa"/>
            <w:noWrap w:val="0"/>
            <w:vAlign w:val="center"/>
          </w:tcPr>
          <w:p>
            <w:pPr>
              <w:rPr>
                <w:rFonts w:ascii="宋体" w:hAnsi="宋体"/>
                <w:color w:val="000000"/>
                <w:szCs w:val="21"/>
              </w:rPr>
            </w:pPr>
            <w:r>
              <w:rPr>
                <w:rFonts w:hint="eastAsia" w:ascii="宋体" w:hAnsi="宋体"/>
                <w:color w:val="000000"/>
                <w:szCs w:val="21"/>
              </w:rPr>
              <w:t>1</w:t>
            </w:r>
            <w:r>
              <w:rPr>
                <w:rFonts w:ascii="宋体" w:hAnsi="宋体"/>
                <w:color w:val="000000"/>
                <w:szCs w:val="21"/>
              </w:rPr>
              <w:t>.</w:t>
            </w:r>
            <w:r>
              <w:rPr>
                <w:rFonts w:hint="eastAsia" w:ascii="宋体" w:hAnsi="宋体"/>
                <w:color w:val="000000"/>
                <w:szCs w:val="21"/>
              </w:rPr>
              <w:t>佩戴耳罩</w:t>
            </w:r>
          </w:p>
          <w:p>
            <w:pPr>
              <w:rPr>
                <w:rFonts w:hint="eastAsia" w:ascii="宋体" w:hAnsi="宋体"/>
                <w:color w:val="000000"/>
                <w:szCs w:val="21"/>
              </w:rPr>
            </w:pPr>
            <w:r>
              <w:rPr>
                <w:rFonts w:hint="eastAsia" w:ascii="宋体" w:hAnsi="宋体"/>
                <w:color w:val="000000"/>
                <w:szCs w:val="21"/>
              </w:rPr>
              <w:t>2</w:t>
            </w:r>
            <w:r>
              <w:rPr>
                <w:rFonts w:ascii="宋体" w:hAnsi="宋体"/>
                <w:color w:val="000000"/>
                <w:szCs w:val="21"/>
              </w:rPr>
              <w:t>.</w:t>
            </w:r>
            <w:r>
              <w:rPr>
                <w:rFonts w:hint="eastAsia" w:ascii="宋体" w:hAnsi="宋体"/>
                <w:color w:val="000000"/>
                <w:szCs w:val="21"/>
              </w:rPr>
              <w:t>作业点作业人员每年进行一次体检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77" w:type="dxa"/>
            <w:vMerge w:val="continue"/>
            <w:noWrap w:val="0"/>
            <w:vAlign w:val="center"/>
          </w:tcPr>
          <w:p>
            <w:pPr>
              <w:rPr>
                <w:rFonts w:ascii="宋体" w:hAnsi="宋体"/>
                <w:color w:val="FF0000"/>
                <w:szCs w:val="21"/>
              </w:rPr>
            </w:pPr>
          </w:p>
        </w:tc>
        <w:tc>
          <w:tcPr>
            <w:tcW w:w="1350" w:type="dxa"/>
            <w:noWrap w:val="0"/>
            <w:vAlign w:val="center"/>
          </w:tcPr>
          <w:p>
            <w:pPr>
              <w:rPr>
                <w:rFonts w:hint="eastAsia" w:ascii="宋体" w:hAnsi="宋体"/>
                <w:color w:val="000000"/>
                <w:szCs w:val="21"/>
              </w:rPr>
            </w:pPr>
            <w:r>
              <w:rPr>
                <w:rFonts w:hint="eastAsia" w:ascii="宋体" w:hAnsi="宋体"/>
                <w:color w:val="000000"/>
                <w:szCs w:val="21"/>
              </w:rPr>
              <w:t>废气</w:t>
            </w:r>
          </w:p>
        </w:tc>
        <w:tc>
          <w:tcPr>
            <w:tcW w:w="6379" w:type="dxa"/>
            <w:noWrap w:val="0"/>
            <w:vAlign w:val="center"/>
          </w:tcPr>
          <w:p>
            <w:pPr>
              <w:rPr>
                <w:rFonts w:hint="eastAsia" w:ascii="宋体" w:hAnsi="宋体"/>
                <w:color w:val="000000"/>
                <w:szCs w:val="21"/>
              </w:rPr>
            </w:pPr>
            <w:r>
              <w:rPr>
                <w:rFonts w:hint="eastAsia" w:ascii="宋体" w:hAnsi="宋体"/>
                <w:color w:val="000000"/>
                <w:szCs w:val="21"/>
              </w:rPr>
              <w:t>定期</w:t>
            </w:r>
            <w:r>
              <w:rPr>
                <w:rFonts w:ascii="宋体" w:hAnsi="宋体"/>
                <w:color w:val="000000"/>
                <w:szCs w:val="21"/>
              </w:rPr>
              <w:t>开展废气检测</w:t>
            </w:r>
          </w:p>
        </w:tc>
      </w:tr>
    </w:tbl>
    <w:p>
      <w:pPr>
        <w:spacing w:line="360" w:lineRule="auto"/>
        <w:ind w:right="325" w:rightChars="155" w:firstLine="480" w:firstLineChars="200"/>
        <w:rPr>
          <w:rFonts w:hint="eastAsia" w:eastAsia="宋体"/>
          <w:sz w:val="24"/>
          <w:lang w:eastAsia="zh-CN"/>
        </w:rPr>
      </w:pPr>
      <w:r>
        <w:rPr>
          <w:rFonts w:hint="eastAsia"/>
          <w:sz w:val="24"/>
        </w:rPr>
        <w:t>公司全面落实科学发展观，努力构建资源节约型、环境友好型企业。</w:t>
      </w:r>
      <w:r>
        <w:rPr>
          <w:rFonts w:hint="eastAsia"/>
          <w:sz w:val="24"/>
          <w:lang w:eastAsia="zh-CN"/>
        </w:rPr>
        <w:t>伟博包装</w:t>
      </w:r>
      <w:r>
        <w:rPr>
          <w:rFonts w:hint="eastAsia"/>
          <w:sz w:val="24"/>
        </w:rPr>
        <w:t>致力于管理、技术、工艺创新，引进先进生产设备，为实现公司总战略发展要求，满足不断变化的顾客、市场和各相关方的需求，提高劳动生产率，降低劳动生产成本</w:t>
      </w:r>
      <w:r>
        <w:rPr>
          <w:rFonts w:hint="eastAsia"/>
          <w:sz w:val="24"/>
          <w:lang w:eastAsia="zh-CN"/>
        </w:rPr>
        <w:t>。</w:t>
      </w:r>
    </w:p>
    <w:p>
      <w:pPr>
        <w:spacing w:line="360" w:lineRule="auto"/>
        <w:ind w:firstLine="480" w:firstLineChars="200"/>
        <w:jc w:val="left"/>
        <w:outlineLvl w:val="1"/>
        <w:rPr>
          <w:rFonts w:hint="eastAsia" w:cs="Arial"/>
          <w:bCs/>
          <w:sz w:val="24"/>
          <w:highlight w:val="yellow"/>
        </w:rPr>
      </w:pPr>
      <w:bookmarkStart w:id="16" w:name="_Toc27355"/>
      <w:r>
        <w:rPr>
          <w:rFonts w:hint="eastAsia"/>
          <w:color w:val="000000"/>
          <w:sz w:val="24"/>
          <w:shd w:val="clear" w:color="auto" w:fill="FFFFFF"/>
        </w:rPr>
        <w:t>在合规方面，我们严格按照国家和地方相关法律法规和行业标准实施管理控制，履行自己的职责，保持了质量、环境、职业健康安全三体系认证有效性，坚持体系化建设；开展安全标准化建设，实施标准化管理。 </w:t>
      </w:r>
      <w:bookmarkEnd w:id="16"/>
    </w:p>
    <w:p>
      <w:pPr>
        <w:pStyle w:val="3"/>
        <w:numPr>
          <w:ilvl w:val="0"/>
          <w:numId w:val="0"/>
        </w:numPr>
        <w:spacing w:before="0" w:after="0" w:line="360" w:lineRule="auto"/>
        <w:rPr>
          <w:rFonts w:hint="eastAsia" w:ascii="宋体" w:hAnsi="宋体"/>
        </w:rPr>
      </w:pPr>
      <w:bookmarkStart w:id="17" w:name="_Toc1869"/>
      <w:r>
        <w:rPr>
          <w:rFonts w:hint="eastAsia" w:ascii="宋体" w:hAnsi="宋体"/>
        </w:rPr>
        <w:t>2.6道德行为</w:t>
      </w:r>
      <w:bookmarkEnd w:id="17"/>
    </w:p>
    <w:p>
      <w:pPr>
        <w:spacing w:line="360" w:lineRule="auto"/>
        <w:ind w:firstLine="480" w:firstLineChars="200"/>
        <w:rPr>
          <w:rFonts w:hint="eastAsia" w:ascii="宋体" w:hAnsi="宋体"/>
          <w:sz w:val="24"/>
        </w:rPr>
      </w:pPr>
      <w:r>
        <w:rPr>
          <w:rFonts w:hint="eastAsia" w:ascii="宋体" w:hAnsi="宋体"/>
          <w:sz w:val="24"/>
        </w:rPr>
        <w:t>为</w:t>
      </w:r>
      <w:r>
        <w:rPr>
          <w:rFonts w:ascii="宋体" w:hAnsi="宋体"/>
          <w:sz w:val="24"/>
        </w:rPr>
        <w:t>树立诚信守法的企业形象，公司制定发放了</w:t>
      </w:r>
      <w:r>
        <w:rPr>
          <w:rFonts w:hint="eastAsia" w:ascii="宋体" w:hAnsi="宋体"/>
          <w:sz w:val="24"/>
        </w:rPr>
        <w:t>《员工</w:t>
      </w:r>
      <w:r>
        <w:rPr>
          <w:rFonts w:ascii="宋体" w:hAnsi="宋体"/>
          <w:sz w:val="24"/>
        </w:rPr>
        <w:t>手册》，明确员工道德行为基本规范要求。</w:t>
      </w:r>
      <w:r>
        <w:rPr>
          <w:rFonts w:hint="eastAsia" w:ascii="宋体" w:hAnsi="宋体"/>
          <w:sz w:val="24"/>
          <w:lang w:eastAsia="zh-CN"/>
        </w:rPr>
        <w:t>杜绝商业贿赂，</w:t>
      </w:r>
      <w:r>
        <w:rPr>
          <w:rFonts w:ascii="宋体" w:hAnsi="宋体"/>
          <w:sz w:val="24"/>
        </w:rPr>
        <w:t>公司把诚信作为新员工入职的首要测评因素</w:t>
      </w:r>
      <w:r>
        <w:rPr>
          <w:rFonts w:hint="eastAsia" w:ascii="宋体" w:hAnsi="宋体"/>
          <w:sz w:val="24"/>
        </w:rPr>
        <w:t>，</w:t>
      </w:r>
      <w:r>
        <w:rPr>
          <w:rFonts w:ascii="宋体" w:hAnsi="宋体"/>
          <w:sz w:val="24"/>
        </w:rPr>
        <w:t>严</w:t>
      </w:r>
      <w:r>
        <w:rPr>
          <w:rFonts w:hint="eastAsia" w:ascii="宋体" w:hAnsi="宋体"/>
          <w:sz w:val="24"/>
        </w:rPr>
        <w:t>把</w:t>
      </w:r>
      <w:r>
        <w:rPr>
          <w:rFonts w:ascii="宋体" w:hAnsi="宋体"/>
          <w:sz w:val="24"/>
        </w:rPr>
        <w:t>入口关，对新员工进行诚信相</w:t>
      </w:r>
      <w:r>
        <w:rPr>
          <w:rFonts w:hint="eastAsia" w:ascii="宋体" w:hAnsi="宋体"/>
          <w:sz w:val="24"/>
        </w:rPr>
        <w:t>关</w:t>
      </w:r>
      <w:r>
        <w:rPr>
          <w:rFonts w:ascii="宋体" w:hAnsi="宋体"/>
          <w:sz w:val="24"/>
        </w:rPr>
        <w:t>内容的培训；</w:t>
      </w:r>
      <w:r>
        <w:rPr>
          <w:rFonts w:hint="eastAsia" w:ascii="宋体" w:hAnsi="宋体"/>
          <w:sz w:val="24"/>
        </w:rPr>
        <w:t>营</w:t>
      </w:r>
      <w:r>
        <w:rPr>
          <w:rFonts w:ascii="宋体" w:hAnsi="宋体"/>
          <w:sz w:val="24"/>
        </w:rPr>
        <w:t>销</w:t>
      </w:r>
      <w:r>
        <w:rPr>
          <w:rFonts w:hint="eastAsia" w:ascii="宋体" w:hAnsi="宋体"/>
          <w:sz w:val="24"/>
        </w:rPr>
        <w:t>人</w:t>
      </w:r>
      <w:r>
        <w:rPr>
          <w:rFonts w:ascii="宋体" w:hAnsi="宋体"/>
          <w:sz w:val="24"/>
        </w:rPr>
        <w:t>员在恪守诚信准则的</w:t>
      </w:r>
      <w:r>
        <w:rPr>
          <w:rFonts w:hint="eastAsia" w:ascii="宋体" w:hAnsi="宋体"/>
          <w:sz w:val="24"/>
        </w:rPr>
        <w:t>同时</w:t>
      </w:r>
      <w:r>
        <w:rPr>
          <w:rFonts w:ascii="宋体" w:hAnsi="宋体"/>
          <w:sz w:val="24"/>
        </w:rPr>
        <w:t>，还把这种理念传递</w:t>
      </w:r>
      <w:r>
        <w:rPr>
          <w:rFonts w:hint="eastAsia" w:ascii="宋体" w:hAnsi="宋体"/>
          <w:sz w:val="24"/>
        </w:rPr>
        <w:t>给</w:t>
      </w:r>
      <w:r>
        <w:rPr>
          <w:rFonts w:ascii="宋体" w:hAnsi="宋体"/>
          <w:sz w:val="24"/>
        </w:rPr>
        <w:t>客户，使诚</w:t>
      </w:r>
      <w:r>
        <w:rPr>
          <w:rFonts w:hint="eastAsia" w:ascii="宋体" w:hAnsi="宋体"/>
          <w:sz w:val="24"/>
        </w:rPr>
        <w:t>信</w:t>
      </w:r>
      <w:r>
        <w:rPr>
          <w:rFonts w:ascii="宋体" w:hAnsi="宋体"/>
          <w:sz w:val="24"/>
        </w:rPr>
        <w:t>在社会更大范围内得到传播。</w:t>
      </w:r>
    </w:p>
    <w:p>
      <w:pPr>
        <w:spacing w:line="360" w:lineRule="auto"/>
        <w:rPr>
          <w:rFonts w:hint="eastAsia" w:ascii="宋体" w:hAnsi="宋体"/>
          <w:b/>
          <w:sz w:val="24"/>
        </w:rPr>
      </w:pPr>
      <w:r>
        <w:rPr>
          <w:rFonts w:ascii="宋体" w:hAnsi="宋体"/>
          <w:b/>
          <w:sz w:val="24"/>
        </w:rPr>
        <w:t>b)</w:t>
      </w:r>
      <w:r>
        <w:rPr>
          <w:rFonts w:hint="eastAsia" w:ascii="宋体" w:hAnsi="宋体"/>
          <w:b/>
          <w:sz w:val="24"/>
        </w:rPr>
        <w:t>监测</w:t>
      </w:r>
      <w:r>
        <w:rPr>
          <w:rFonts w:ascii="宋体" w:hAnsi="宋体"/>
          <w:b/>
          <w:sz w:val="24"/>
        </w:rPr>
        <w:t>道德行为的关键过程及指标，确保组织行为符合道德规范</w:t>
      </w:r>
    </w:p>
    <w:p>
      <w:pPr>
        <w:spacing w:line="360" w:lineRule="auto"/>
        <w:jc w:val="center"/>
        <w:rPr>
          <w:rFonts w:ascii="宋体" w:hAnsi="宋体"/>
          <w:b/>
          <w:color w:val="000000"/>
          <w:sz w:val="24"/>
        </w:rPr>
      </w:pPr>
      <w:r>
        <w:rPr>
          <w:rFonts w:hint="eastAsia" w:ascii="宋体" w:hAnsi="宋体"/>
          <w:b/>
          <w:color w:val="000000"/>
          <w:sz w:val="24"/>
        </w:rPr>
        <w:t>图表-12 公司道德行为监测过程及指标</w:t>
      </w:r>
    </w:p>
    <w:tbl>
      <w:tblPr>
        <w:tblStyle w:val="18"/>
        <w:tblW w:w="849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134"/>
        <w:gridCol w:w="1276"/>
        <w:gridCol w:w="3697"/>
        <w:gridCol w:w="1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tblHeader/>
          <w:jc w:val="center"/>
        </w:trPr>
        <w:tc>
          <w:tcPr>
            <w:tcW w:w="709" w:type="dxa"/>
            <w:tcBorders>
              <w:right w:val="single" w:color="auto" w:sz="4" w:space="0"/>
            </w:tcBorders>
            <w:shd w:val="clear" w:color="auto" w:fill="FBE4D5"/>
            <w:noWrap w:val="0"/>
            <w:vAlign w:val="center"/>
          </w:tcPr>
          <w:p>
            <w:pPr>
              <w:autoSpaceDE w:val="0"/>
              <w:autoSpaceDN w:val="0"/>
              <w:spacing w:line="360" w:lineRule="auto"/>
              <w:jc w:val="center"/>
              <w:rPr>
                <w:rFonts w:ascii="宋体" w:hAnsi="宋体"/>
                <w:b/>
                <w:color w:val="000000"/>
                <w:szCs w:val="21"/>
              </w:rPr>
            </w:pPr>
            <w:r>
              <w:rPr>
                <w:rFonts w:ascii="宋体" w:hAnsi="宋体"/>
                <w:b/>
                <w:color w:val="000000"/>
                <w:szCs w:val="21"/>
              </w:rPr>
              <w:t>类型</w:t>
            </w:r>
          </w:p>
        </w:tc>
        <w:tc>
          <w:tcPr>
            <w:tcW w:w="1134" w:type="dxa"/>
            <w:tcBorders>
              <w:right w:val="single" w:color="auto" w:sz="4" w:space="0"/>
            </w:tcBorders>
            <w:shd w:val="clear" w:color="auto" w:fill="FBE4D5"/>
            <w:noWrap w:val="0"/>
            <w:vAlign w:val="center"/>
          </w:tcPr>
          <w:p>
            <w:pPr>
              <w:autoSpaceDE w:val="0"/>
              <w:autoSpaceDN w:val="0"/>
              <w:spacing w:line="360" w:lineRule="auto"/>
              <w:jc w:val="center"/>
              <w:rPr>
                <w:rFonts w:ascii="宋体" w:hAnsi="宋体"/>
                <w:b/>
                <w:color w:val="000000"/>
                <w:szCs w:val="21"/>
              </w:rPr>
            </w:pPr>
            <w:r>
              <w:rPr>
                <w:rFonts w:ascii="宋体" w:hAnsi="宋体"/>
                <w:b/>
                <w:color w:val="000000"/>
                <w:szCs w:val="21"/>
              </w:rPr>
              <w:t>监督对象</w:t>
            </w:r>
          </w:p>
        </w:tc>
        <w:tc>
          <w:tcPr>
            <w:tcW w:w="1276" w:type="dxa"/>
            <w:shd w:val="clear" w:color="auto" w:fill="FBE4D5"/>
            <w:noWrap w:val="0"/>
            <w:vAlign w:val="center"/>
          </w:tcPr>
          <w:p>
            <w:pPr>
              <w:autoSpaceDE w:val="0"/>
              <w:autoSpaceDN w:val="0"/>
              <w:spacing w:line="360" w:lineRule="auto"/>
              <w:jc w:val="center"/>
              <w:rPr>
                <w:rFonts w:ascii="宋体" w:hAnsi="宋体"/>
                <w:b/>
                <w:color w:val="000000"/>
                <w:szCs w:val="21"/>
              </w:rPr>
            </w:pPr>
            <w:r>
              <w:rPr>
                <w:rFonts w:ascii="宋体" w:hAnsi="宋体"/>
                <w:b/>
                <w:color w:val="000000"/>
                <w:szCs w:val="21"/>
              </w:rPr>
              <w:t>责任部门</w:t>
            </w:r>
          </w:p>
        </w:tc>
        <w:tc>
          <w:tcPr>
            <w:tcW w:w="3697" w:type="dxa"/>
            <w:shd w:val="clear" w:color="auto" w:fill="FBE4D5"/>
            <w:noWrap w:val="0"/>
            <w:vAlign w:val="center"/>
          </w:tcPr>
          <w:p>
            <w:pPr>
              <w:autoSpaceDE w:val="0"/>
              <w:autoSpaceDN w:val="0"/>
              <w:spacing w:line="360" w:lineRule="auto"/>
              <w:jc w:val="center"/>
              <w:rPr>
                <w:rFonts w:ascii="宋体" w:hAnsi="宋体"/>
                <w:b/>
                <w:color w:val="000000"/>
                <w:szCs w:val="21"/>
              </w:rPr>
            </w:pPr>
            <w:r>
              <w:rPr>
                <w:rFonts w:ascii="宋体" w:hAnsi="宋体"/>
                <w:b/>
                <w:color w:val="000000"/>
                <w:kern w:val="0"/>
                <w:szCs w:val="21"/>
              </w:rPr>
              <w:t>测量方法</w:t>
            </w:r>
          </w:p>
        </w:tc>
        <w:tc>
          <w:tcPr>
            <w:tcW w:w="1676" w:type="dxa"/>
            <w:shd w:val="clear" w:color="auto" w:fill="FBE4D5"/>
            <w:noWrap w:val="0"/>
            <w:vAlign w:val="center"/>
          </w:tcPr>
          <w:p>
            <w:pPr>
              <w:autoSpaceDE w:val="0"/>
              <w:autoSpaceDN w:val="0"/>
              <w:spacing w:line="360" w:lineRule="auto"/>
              <w:jc w:val="center"/>
              <w:rPr>
                <w:rFonts w:ascii="宋体" w:hAnsi="宋体"/>
                <w:b/>
                <w:color w:val="000000"/>
                <w:szCs w:val="21"/>
              </w:rPr>
            </w:pPr>
            <w:r>
              <w:rPr>
                <w:rFonts w:ascii="宋体" w:hAnsi="宋体"/>
                <w:b/>
                <w:color w:val="000000"/>
                <w:kern w:val="0"/>
                <w:szCs w:val="21"/>
              </w:rPr>
              <w:t>测量指标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709" w:type="dxa"/>
            <w:vMerge w:val="restart"/>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组织内部</w:t>
            </w: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公司高层</w:t>
            </w:r>
          </w:p>
          <w:p>
            <w:pPr>
              <w:autoSpaceDE w:val="0"/>
              <w:autoSpaceDN w:val="0"/>
              <w:jc w:val="center"/>
              <w:rPr>
                <w:rFonts w:ascii="宋体" w:hAnsi="宋体"/>
                <w:color w:val="000000"/>
                <w:szCs w:val="21"/>
              </w:rPr>
            </w:pPr>
            <w:r>
              <w:rPr>
                <w:rFonts w:ascii="宋体" w:hAnsi="宋体"/>
                <w:color w:val="000000"/>
                <w:szCs w:val="21"/>
              </w:rPr>
              <w:t>公司中层</w:t>
            </w:r>
          </w:p>
        </w:tc>
        <w:tc>
          <w:tcPr>
            <w:tcW w:w="1276" w:type="dxa"/>
            <w:noWrap w:val="0"/>
            <w:vAlign w:val="center"/>
          </w:tcPr>
          <w:p>
            <w:pPr>
              <w:autoSpaceDE w:val="0"/>
              <w:autoSpaceDN w:val="0"/>
              <w:jc w:val="center"/>
              <w:rPr>
                <w:rFonts w:hint="eastAsia" w:ascii="宋体" w:hAnsi="宋体"/>
                <w:color w:val="000000"/>
                <w:szCs w:val="21"/>
              </w:rPr>
            </w:pPr>
            <w:r>
              <w:rPr>
                <w:rFonts w:ascii="宋体" w:hAnsi="宋体"/>
                <w:color w:val="000000"/>
                <w:szCs w:val="21"/>
              </w:rPr>
              <w:t>各部门</w:t>
            </w:r>
          </w:p>
          <w:p>
            <w:pPr>
              <w:autoSpaceDE w:val="0"/>
              <w:autoSpaceDN w:val="0"/>
              <w:jc w:val="center"/>
              <w:rPr>
                <w:rFonts w:ascii="宋体" w:hAnsi="宋体"/>
                <w:color w:val="000000"/>
                <w:szCs w:val="21"/>
              </w:rPr>
            </w:pPr>
            <w:r>
              <w:rPr>
                <w:rFonts w:ascii="宋体" w:hAnsi="宋体"/>
                <w:color w:val="000000"/>
                <w:szCs w:val="21"/>
              </w:rPr>
              <w:t>领导</w:t>
            </w:r>
          </w:p>
        </w:tc>
        <w:tc>
          <w:tcPr>
            <w:tcW w:w="3697" w:type="dxa"/>
            <w:noWrap w:val="0"/>
            <w:vAlign w:val="center"/>
          </w:tcPr>
          <w:p>
            <w:pPr>
              <w:autoSpaceDE w:val="0"/>
              <w:autoSpaceDN w:val="0"/>
              <w:rPr>
                <w:rFonts w:ascii="宋体" w:hAnsi="宋体"/>
                <w:color w:val="000000"/>
                <w:szCs w:val="21"/>
              </w:rPr>
            </w:pPr>
            <w:r>
              <w:rPr>
                <w:rFonts w:ascii="宋体" w:hAnsi="宋体"/>
                <w:color w:val="000000"/>
                <w:kern w:val="0"/>
                <w:szCs w:val="21"/>
              </w:rPr>
              <w:t>随时接受全员监督举报</w:t>
            </w:r>
          </w:p>
        </w:tc>
        <w:tc>
          <w:tcPr>
            <w:tcW w:w="1676" w:type="dxa"/>
            <w:noWrap w:val="0"/>
            <w:vAlign w:val="center"/>
          </w:tcPr>
          <w:p>
            <w:pPr>
              <w:widowControl/>
              <w:jc w:val="center"/>
              <w:rPr>
                <w:rFonts w:ascii="宋体" w:hAnsi="宋体"/>
                <w:color w:val="000000"/>
                <w:kern w:val="0"/>
                <w:szCs w:val="21"/>
              </w:rPr>
            </w:pPr>
            <w:r>
              <w:rPr>
                <w:rFonts w:ascii="宋体" w:hAnsi="宋体"/>
                <w:color w:val="000000"/>
                <w:kern w:val="0"/>
                <w:szCs w:val="21"/>
              </w:rPr>
              <w:t>违纪违法事件</w:t>
            </w:r>
          </w:p>
          <w:p>
            <w:pPr>
              <w:widowControl/>
              <w:jc w:val="center"/>
              <w:rPr>
                <w:rFonts w:ascii="宋体" w:hAnsi="宋体"/>
                <w:color w:val="000000"/>
                <w:kern w:val="0"/>
                <w:szCs w:val="21"/>
              </w:rPr>
            </w:pPr>
            <w:r>
              <w:rPr>
                <w:rFonts w:ascii="宋体" w:hAnsi="宋体"/>
                <w:color w:val="000000"/>
                <w:kern w:val="0"/>
                <w:szCs w:val="21"/>
              </w:rPr>
              <w:t>重大经营活动违规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709" w:type="dxa"/>
            <w:vMerge w:val="continue"/>
            <w:tcBorders>
              <w:right w:val="single" w:color="auto" w:sz="4" w:space="0"/>
            </w:tcBorders>
            <w:noWrap w:val="0"/>
            <w:vAlign w:val="center"/>
          </w:tcPr>
          <w:p>
            <w:pPr>
              <w:autoSpaceDE w:val="0"/>
              <w:autoSpaceDN w:val="0"/>
              <w:jc w:val="center"/>
              <w:rPr>
                <w:rFonts w:ascii="宋体" w:hAnsi="宋体"/>
                <w:color w:val="000000"/>
                <w:szCs w:val="21"/>
              </w:rPr>
            </w:pP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普通员工</w:t>
            </w:r>
          </w:p>
        </w:tc>
        <w:tc>
          <w:tcPr>
            <w:tcW w:w="1276" w:type="dxa"/>
            <w:noWrap w:val="0"/>
            <w:vAlign w:val="center"/>
          </w:tcPr>
          <w:p>
            <w:pPr>
              <w:autoSpaceDE w:val="0"/>
              <w:autoSpaceDN w:val="0"/>
              <w:jc w:val="center"/>
              <w:rPr>
                <w:rFonts w:ascii="宋体" w:hAnsi="宋体"/>
                <w:color w:val="000000"/>
                <w:szCs w:val="21"/>
              </w:rPr>
            </w:pPr>
            <w:r>
              <w:rPr>
                <w:rFonts w:hint="eastAsia" w:ascii="宋体" w:hAnsi="宋体"/>
                <w:color w:val="000000"/>
                <w:szCs w:val="21"/>
              </w:rPr>
              <w:t>办公室</w:t>
            </w:r>
            <w:r>
              <w:rPr>
                <w:rFonts w:ascii="宋体" w:hAnsi="宋体"/>
                <w:color w:val="000000"/>
                <w:szCs w:val="21"/>
              </w:rPr>
              <w:t>等</w:t>
            </w:r>
          </w:p>
        </w:tc>
        <w:tc>
          <w:tcPr>
            <w:tcW w:w="3697" w:type="dxa"/>
            <w:noWrap w:val="0"/>
            <w:vAlign w:val="center"/>
          </w:tcPr>
          <w:p>
            <w:pPr>
              <w:autoSpaceDE w:val="0"/>
              <w:autoSpaceDN w:val="0"/>
              <w:rPr>
                <w:rFonts w:ascii="宋体" w:hAnsi="宋体"/>
                <w:color w:val="000000"/>
                <w:szCs w:val="21"/>
              </w:rPr>
            </w:pPr>
            <w:r>
              <w:rPr>
                <w:rFonts w:hint="eastAsia" w:ascii="宋体" w:hAnsi="宋体"/>
                <w:color w:val="000000"/>
                <w:szCs w:val="21"/>
              </w:rPr>
              <w:t>办公室</w:t>
            </w:r>
            <w:r>
              <w:rPr>
                <w:rFonts w:ascii="宋体" w:hAnsi="宋体"/>
                <w:color w:val="000000"/>
                <w:szCs w:val="21"/>
              </w:rPr>
              <w:t>等部门做好员工道德行为相关教育工作，开展</w:t>
            </w:r>
            <w:r>
              <w:rPr>
                <w:rFonts w:ascii="宋体" w:hAnsi="宋体"/>
                <w:color w:val="000000"/>
                <w:kern w:val="0"/>
                <w:szCs w:val="21"/>
              </w:rPr>
              <w:t>全员监督举报</w:t>
            </w:r>
          </w:p>
        </w:tc>
        <w:tc>
          <w:tcPr>
            <w:tcW w:w="1676" w:type="dxa"/>
            <w:noWrap w:val="0"/>
            <w:vAlign w:val="center"/>
          </w:tcPr>
          <w:p>
            <w:pPr>
              <w:autoSpaceDE w:val="0"/>
              <w:autoSpaceDN w:val="0"/>
              <w:jc w:val="center"/>
              <w:rPr>
                <w:rFonts w:ascii="宋体" w:hAnsi="宋体"/>
                <w:color w:val="000000"/>
                <w:kern w:val="0"/>
                <w:szCs w:val="21"/>
              </w:rPr>
            </w:pPr>
            <w:r>
              <w:rPr>
                <w:rFonts w:ascii="宋体" w:hAnsi="宋体"/>
                <w:color w:val="000000"/>
                <w:kern w:val="0"/>
                <w:szCs w:val="21"/>
              </w:rPr>
              <w:t>不文明行为</w:t>
            </w:r>
          </w:p>
          <w:p>
            <w:pPr>
              <w:autoSpaceDE w:val="0"/>
              <w:autoSpaceDN w:val="0"/>
              <w:jc w:val="center"/>
              <w:rPr>
                <w:rFonts w:ascii="宋体" w:hAnsi="宋体"/>
                <w:color w:val="000000"/>
                <w:kern w:val="0"/>
                <w:szCs w:val="21"/>
              </w:rPr>
            </w:pPr>
            <w:r>
              <w:rPr>
                <w:rFonts w:ascii="宋体" w:hAnsi="宋体"/>
                <w:color w:val="000000"/>
                <w:kern w:val="0"/>
                <w:szCs w:val="21"/>
              </w:rPr>
              <w:t>工作态度</w:t>
            </w:r>
          </w:p>
          <w:p>
            <w:pPr>
              <w:autoSpaceDE w:val="0"/>
              <w:autoSpaceDN w:val="0"/>
              <w:jc w:val="center"/>
              <w:rPr>
                <w:rFonts w:ascii="宋体" w:hAnsi="宋体"/>
                <w:color w:val="000000"/>
                <w:szCs w:val="21"/>
              </w:rPr>
            </w:pPr>
            <w:r>
              <w:rPr>
                <w:rFonts w:ascii="宋体" w:hAnsi="宋体"/>
                <w:color w:val="000000"/>
                <w:kern w:val="0"/>
                <w:szCs w:val="21"/>
              </w:rPr>
              <w:t>违纪违法情况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restart"/>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组织之间</w:t>
            </w: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供应商</w:t>
            </w:r>
          </w:p>
        </w:tc>
        <w:tc>
          <w:tcPr>
            <w:tcW w:w="1276" w:type="dxa"/>
            <w:noWrap w:val="0"/>
            <w:vAlign w:val="center"/>
          </w:tcPr>
          <w:p>
            <w:pPr>
              <w:autoSpaceDE w:val="0"/>
              <w:autoSpaceDN w:val="0"/>
              <w:jc w:val="center"/>
              <w:rPr>
                <w:rFonts w:ascii="宋体" w:hAnsi="宋体"/>
                <w:color w:val="000000"/>
                <w:szCs w:val="21"/>
              </w:rPr>
            </w:pPr>
            <w:r>
              <w:rPr>
                <w:rFonts w:hint="eastAsia" w:ascii="宋体" w:hAnsi="宋体"/>
                <w:color w:val="000000"/>
                <w:szCs w:val="21"/>
              </w:rPr>
              <w:t>采购部</w:t>
            </w:r>
          </w:p>
        </w:tc>
        <w:tc>
          <w:tcPr>
            <w:tcW w:w="3697" w:type="dxa"/>
            <w:noWrap w:val="0"/>
            <w:vAlign w:val="center"/>
          </w:tcPr>
          <w:p>
            <w:pPr>
              <w:autoSpaceDE w:val="0"/>
              <w:autoSpaceDN w:val="0"/>
              <w:rPr>
                <w:rFonts w:ascii="宋体" w:hAnsi="宋体"/>
                <w:color w:val="000000"/>
                <w:szCs w:val="21"/>
              </w:rPr>
            </w:pPr>
            <w:r>
              <w:rPr>
                <w:rFonts w:ascii="宋体" w:hAnsi="宋体"/>
                <w:color w:val="000000"/>
                <w:kern w:val="0"/>
                <w:szCs w:val="21"/>
              </w:rPr>
              <w:t>遵守供应商管理相关制度，</w:t>
            </w:r>
            <w:r>
              <w:rPr>
                <w:rFonts w:hint="eastAsia" w:ascii="宋体" w:hAnsi="宋体"/>
                <w:color w:val="000000"/>
                <w:kern w:val="0"/>
                <w:szCs w:val="21"/>
              </w:rPr>
              <w:t>严格</w:t>
            </w:r>
            <w:r>
              <w:rPr>
                <w:rFonts w:ascii="宋体" w:hAnsi="宋体"/>
                <w:color w:val="000000"/>
                <w:kern w:val="0"/>
                <w:szCs w:val="21"/>
              </w:rPr>
              <w:t>履行合同；评估供应商的综合满意度</w:t>
            </w:r>
          </w:p>
        </w:tc>
        <w:tc>
          <w:tcPr>
            <w:tcW w:w="1676" w:type="dxa"/>
            <w:noWrap w:val="0"/>
            <w:vAlign w:val="center"/>
          </w:tcPr>
          <w:p>
            <w:pPr>
              <w:autoSpaceDE w:val="0"/>
              <w:autoSpaceDN w:val="0"/>
              <w:jc w:val="center"/>
              <w:rPr>
                <w:rFonts w:ascii="宋体" w:hAnsi="宋体"/>
                <w:color w:val="000000"/>
                <w:kern w:val="0"/>
                <w:szCs w:val="21"/>
              </w:rPr>
            </w:pPr>
            <w:r>
              <w:rPr>
                <w:rFonts w:ascii="宋体" w:hAnsi="宋体"/>
                <w:color w:val="000000"/>
                <w:kern w:val="0"/>
                <w:szCs w:val="21"/>
              </w:rPr>
              <w:t>合同履约率</w:t>
            </w:r>
          </w:p>
          <w:p>
            <w:pPr>
              <w:autoSpaceDE w:val="0"/>
              <w:autoSpaceDN w:val="0"/>
              <w:jc w:val="center"/>
              <w:rPr>
                <w:rFonts w:ascii="宋体" w:hAnsi="宋体"/>
                <w:color w:val="000000"/>
                <w:kern w:val="0"/>
                <w:szCs w:val="21"/>
              </w:rPr>
            </w:pPr>
            <w:r>
              <w:rPr>
                <w:rFonts w:ascii="宋体" w:hAnsi="宋体"/>
                <w:color w:val="000000"/>
                <w:kern w:val="0"/>
                <w:szCs w:val="21"/>
              </w:rPr>
              <w:t>及时付款率</w:t>
            </w:r>
          </w:p>
          <w:p>
            <w:pPr>
              <w:autoSpaceDE w:val="0"/>
              <w:autoSpaceDN w:val="0"/>
              <w:jc w:val="center"/>
              <w:rPr>
                <w:rFonts w:ascii="宋体" w:hAnsi="宋体"/>
                <w:color w:val="000000"/>
                <w:szCs w:val="21"/>
              </w:rPr>
            </w:pPr>
            <w:r>
              <w:rPr>
                <w:rFonts w:ascii="宋体" w:hAnsi="宋体"/>
                <w:color w:val="000000"/>
                <w:kern w:val="0"/>
                <w:szCs w:val="21"/>
              </w:rPr>
              <w:t>综合满意度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continue"/>
            <w:tcBorders>
              <w:right w:val="single" w:color="auto" w:sz="4" w:space="0"/>
            </w:tcBorders>
            <w:noWrap w:val="0"/>
            <w:vAlign w:val="center"/>
          </w:tcPr>
          <w:p>
            <w:pPr>
              <w:autoSpaceDE w:val="0"/>
              <w:autoSpaceDN w:val="0"/>
              <w:jc w:val="center"/>
              <w:rPr>
                <w:rFonts w:ascii="宋体" w:hAnsi="宋体"/>
                <w:color w:val="000000"/>
                <w:szCs w:val="21"/>
              </w:rPr>
            </w:pP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顾客</w:t>
            </w:r>
          </w:p>
        </w:tc>
        <w:tc>
          <w:tcPr>
            <w:tcW w:w="1276" w:type="dxa"/>
            <w:noWrap w:val="0"/>
            <w:vAlign w:val="center"/>
          </w:tcPr>
          <w:p>
            <w:pPr>
              <w:autoSpaceDE w:val="0"/>
              <w:autoSpaceDN w:val="0"/>
              <w:ind w:firstLine="210" w:firstLineChars="100"/>
              <w:rPr>
                <w:rFonts w:hint="eastAsia" w:ascii="宋体" w:hAnsi="宋体"/>
                <w:color w:val="000000"/>
                <w:szCs w:val="21"/>
              </w:rPr>
            </w:pPr>
            <w:r>
              <w:rPr>
                <w:rFonts w:hint="eastAsia" w:ascii="宋体" w:hAnsi="宋体"/>
                <w:color w:val="000000"/>
                <w:szCs w:val="21"/>
                <w:lang w:eastAsia="zh-CN"/>
              </w:rPr>
              <w:t>业务</w:t>
            </w:r>
            <w:r>
              <w:rPr>
                <w:rFonts w:hint="eastAsia" w:ascii="宋体" w:hAnsi="宋体"/>
                <w:color w:val="000000"/>
                <w:szCs w:val="21"/>
              </w:rPr>
              <w:t>部</w:t>
            </w:r>
          </w:p>
        </w:tc>
        <w:tc>
          <w:tcPr>
            <w:tcW w:w="3697" w:type="dxa"/>
            <w:noWrap w:val="0"/>
            <w:vAlign w:val="center"/>
          </w:tcPr>
          <w:p>
            <w:pPr>
              <w:autoSpaceDE w:val="0"/>
              <w:autoSpaceDN w:val="0"/>
              <w:rPr>
                <w:rFonts w:ascii="宋体" w:hAnsi="宋体"/>
                <w:color w:val="000000"/>
                <w:szCs w:val="21"/>
              </w:rPr>
            </w:pPr>
            <w:r>
              <w:rPr>
                <w:rFonts w:ascii="宋体" w:hAnsi="宋体"/>
                <w:color w:val="000000"/>
                <w:kern w:val="0"/>
                <w:szCs w:val="21"/>
              </w:rPr>
              <w:t>监督合同合规性，关注合同履约率，定期测量顾客满意度</w:t>
            </w:r>
            <w:r>
              <w:rPr>
                <w:rFonts w:hint="eastAsia" w:ascii="宋体" w:hAnsi="宋体"/>
                <w:color w:val="000000"/>
                <w:kern w:val="0"/>
                <w:szCs w:val="21"/>
              </w:rPr>
              <w:t>，</w:t>
            </w:r>
            <w:r>
              <w:rPr>
                <w:rFonts w:ascii="宋体" w:hAnsi="宋体"/>
                <w:color w:val="000000"/>
                <w:kern w:val="0"/>
                <w:szCs w:val="21"/>
              </w:rPr>
              <w:t>增强顾客满意</w:t>
            </w:r>
          </w:p>
        </w:tc>
        <w:tc>
          <w:tcPr>
            <w:tcW w:w="1676" w:type="dxa"/>
            <w:noWrap w:val="0"/>
            <w:vAlign w:val="center"/>
          </w:tcPr>
          <w:p>
            <w:pPr>
              <w:autoSpaceDE w:val="0"/>
              <w:autoSpaceDN w:val="0"/>
              <w:jc w:val="center"/>
              <w:rPr>
                <w:rFonts w:ascii="宋体" w:hAnsi="宋体"/>
                <w:color w:val="000000"/>
                <w:kern w:val="0"/>
                <w:szCs w:val="21"/>
              </w:rPr>
            </w:pPr>
            <w:r>
              <w:rPr>
                <w:rFonts w:ascii="宋体" w:hAnsi="宋体"/>
                <w:color w:val="000000"/>
                <w:kern w:val="0"/>
                <w:szCs w:val="21"/>
              </w:rPr>
              <w:t>合同履约率</w:t>
            </w:r>
          </w:p>
          <w:p>
            <w:pPr>
              <w:autoSpaceDE w:val="0"/>
              <w:autoSpaceDN w:val="0"/>
              <w:jc w:val="center"/>
              <w:rPr>
                <w:rFonts w:ascii="宋体" w:hAnsi="宋体"/>
                <w:color w:val="000000"/>
                <w:kern w:val="0"/>
                <w:szCs w:val="21"/>
              </w:rPr>
            </w:pPr>
            <w:r>
              <w:rPr>
                <w:rFonts w:ascii="宋体" w:hAnsi="宋体"/>
                <w:color w:val="000000"/>
                <w:kern w:val="0"/>
                <w:szCs w:val="21"/>
              </w:rPr>
              <w:t>产品准时交货率</w:t>
            </w:r>
          </w:p>
          <w:p>
            <w:pPr>
              <w:autoSpaceDE w:val="0"/>
              <w:autoSpaceDN w:val="0"/>
              <w:jc w:val="center"/>
              <w:rPr>
                <w:rFonts w:ascii="宋体" w:hAnsi="宋体"/>
                <w:color w:val="000000"/>
                <w:szCs w:val="21"/>
              </w:rPr>
            </w:pPr>
            <w:r>
              <w:rPr>
                <w:rFonts w:ascii="宋体" w:hAnsi="宋体"/>
                <w:color w:val="000000"/>
                <w:kern w:val="0"/>
                <w:szCs w:val="21"/>
              </w:rPr>
              <w:t>顾客满意度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709" w:type="dxa"/>
            <w:vMerge w:val="restart"/>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组织外部</w:t>
            </w: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政府</w:t>
            </w:r>
          </w:p>
        </w:tc>
        <w:tc>
          <w:tcPr>
            <w:tcW w:w="1276" w:type="dxa"/>
            <w:noWrap w:val="0"/>
            <w:vAlign w:val="center"/>
          </w:tcPr>
          <w:p>
            <w:pPr>
              <w:autoSpaceDE w:val="0"/>
              <w:autoSpaceDN w:val="0"/>
              <w:jc w:val="center"/>
              <w:rPr>
                <w:rFonts w:hint="eastAsia" w:ascii="宋体" w:hAnsi="宋体"/>
                <w:color w:val="000000"/>
                <w:szCs w:val="21"/>
              </w:rPr>
            </w:pPr>
            <w:r>
              <w:rPr>
                <w:rFonts w:hint="eastAsia" w:ascii="宋体" w:hAnsi="宋体"/>
                <w:color w:val="000000"/>
                <w:szCs w:val="21"/>
              </w:rPr>
              <w:t>财务部</w:t>
            </w:r>
          </w:p>
        </w:tc>
        <w:tc>
          <w:tcPr>
            <w:tcW w:w="3697" w:type="dxa"/>
            <w:noWrap w:val="0"/>
            <w:vAlign w:val="center"/>
          </w:tcPr>
          <w:p>
            <w:pPr>
              <w:autoSpaceDE w:val="0"/>
              <w:autoSpaceDN w:val="0"/>
              <w:rPr>
                <w:rFonts w:ascii="宋体" w:hAnsi="宋体"/>
                <w:color w:val="000000"/>
                <w:szCs w:val="21"/>
              </w:rPr>
            </w:pPr>
            <w:r>
              <w:rPr>
                <w:rFonts w:ascii="宋体" w:hAnsi="宋体"/>
                <w:color w:val="000000"/>
                <w:kern w:val="0"/>
                <w:szCs w:val="21"/>
              </w:rPr>
              <w:t>按照《中华人民共和国税法》等法律法规执行依法纳税义务</w:t>
            </w:r>
          </w:p>
        </w:tc>
        <w:tc>
          <w:tcPr>
            <w:tcW w:w="1676" w:type="dxa"/>
            <w:noWrap w:val="0"/>
            <w:vAlign w:val="center"/>
          </w:tcPr>
          <w:p>
            <w:pPr>
              <w:autoSpaceDE w:val="0"/>
              <w:autoSpaceDN w:val="0"/>
              <w:jc w:val="center"/>
              <w:rPr>
                <w:rFonts w:ascii="宋体" w:hAnsi="宋体"/>
                <w:color w:val="000000"/>
                <w:kern w:val="0"/>
                <w:szCs w:val="21"/>
              </w:rPr>
            </w:pPr>
            <w:r>
              <w:rPr>
                <w:rFonts w:ascii="宋体" w:hAnsi="宋体"/>
                <w:color w:val="000000"/>
                <w:kern w:val="0"/>
                <w:szCs w:val="21"/>
              </w:rPr>
              <w:t>按时纳税率</w:t>
            </w:r>
          </w:p>
          <w:p>
            <w:pPr>
              <w:autoSpaceDE w:val="0"/>
              <w:autoSpaceDN w:val="0"/>
              <w:jc w:val="center"/>
              <w:rPr>
                <w:rFonts w:ascii="宋体" w:hAnsi="宋体"/>
                <w:color w:val="000000"/>
                <w:kern w:val="0"/>
                <w:szCs w:val="21"/>
              </w:rPr>
            </w:pPr>
            <w:r>
              <w:rPr>
                <w:rFonts w:ascii="宋体" w:hAnsi="宋体"/>
                <w:color w:val="000000"/>
                <w:kern w:val="0"/>
                <w:szCs w:val="21"/>
              </w:rPr>
              <w:t>依法纳税率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continue"/>
            <w:tcBorders>
              <w:right w:val="single" w:color="auto" w:sz="4" w:space="0"/>
            </w:tcBorders>
            <w:noWrap w:val="0"/>
            <w:vAlign w:val="center"/>
          </w:tcPr>
          <w:p>
            <w:pPr>
              <w:autoSpaceDE w:val="0"/>
              <w:autoSpaceDN w:val="0"/>
              <w:jc w:val="center"/>
              <w:rPr>
                <w:rFonts w:ascii="宋体" w:hAnsi="宋体"/>
                <w:color w:val="000000"/>
                <w:szCs w:val="21"/>
              </w:rPr>
            </w:pPr>
          </w:p>
        </w:tc>
        <w:tc>
          <w:tcPr>
            <w:tcW w:w="1134" w:type="dxa"/>
            <w:tcBorders>
              <w:right w:val="single" w:color="auto" w:sz="4" w:space="0"/>
            </w:tcBorders>
            <w:noWrap w:val="0"/>
            <w:vAlign w:val="center"/>
          </w:tcPr>
          <w:p>
            <w:pPr>
              <w:autoSpaceDE w:val="0"/>
              <w:autoSpaceDN w:val="0"/>
              <w:jc w:val="center"/>
              <w:rPr>
                <w:rFonts w:ascii="宋体" w:hAnsi="宋体"/>
                <w:color w:val="000000"/>
                <w:szCs w:val="21"/>
              </w:rPr>
            </w:pPr>
            <w:r>
              <w:rPr>
                <w:rFonts w:ascii="宋体" w:hAnsi="宋体"/>
                <w:color w:val="000000"/>
                <w:szCs w:val="21"/>
              </w:rPr>
              <w:t>社会</w:t>
            </w:r>
          </w:p>
        </w:tc>
        <w:tc>
          <w:tcPr>
            <w:tcW w:w="1276" w:type="dxa"/>
            <w:noWrap w:val="0"/>
            <w:vAlign w:val="center"/>
          </w:tcPr>
          <w:p>
            <w:pPr>
              <w:autoSpaceDE w:val="0"/>
              <w:autoSpaceDN w:val="0"/>
              <w:jc w:val="center"/>
              <w:rPr>
                <w:rFonts w:hint="eastAsia" w:ascii="宋体" w:hAnsi="宋体" w:eastAsia="宋体"/>
                <w:color w:val="000000"/>
                <w:szCs w:val="21"/>
                <w:lang w:eastAsia="zh-CN"/>
              </w:rPr>
            </w:pPr>
            <w:r>
              <w:rPr>
                <w:rFonts w:hint="eastAsia" w:ascii="宋体" w:hAnsi="宋体"/>
                <w:color w:val="000000"/>
                <w:szCs w:val="21"/>
                <w:lang w:eastAsia="zh-CN"/>
              </w:rPr>
              <w:t>办公室等</w:t>
            </w:r>
          </w:p>
        </w:tc>
        <w:tc>
          <w:tcPr>
            <w:tcW w:w="3697" w:type="dxa"/>
            <w:noWrap w:val="0"/>
            <w:vAlign w:val="center"/>
          </w:tcPr>
          <w:p>
            <w:pPr>
              <w:autoSpaceDE w:val="0"/>
              <w:autoSpaceDN w:val="0"/>
              <w:rPr>
                <w:rFonts w:ascii="宋体" w:hAnsi="宋体"/>
                <w:color w:val="000000"/>
                <w:kern w:val="0"/>
                <w:szCs w:val="21"/>
              </w:rPr>
            </w:pPr>
            <w:r>
              <w:rPr>
                <w:rFonts w:ascii="宋体" w:hAnsi="宋体"/>
                <w:color w:val="000000"/>
                <w:kern w:val="0"/>
                <w:szCs w:val="21"/>
              </w:rPr>
              <w:t>按《</w:t>
            </w:r>
            <w:r>
              <w:rPr>
                <w:rFonts w:hint="eastAsia" w:ascii="宋体" w:hAnsi="宋体"/>
                <w:color w:val="000000"/>
                <w:kern w:val="0"/>
                <w:szCs w:val="21"/>
              </w:rPr>
              <w:t>环境</w:t>
            </w:r>
            <w:r>
              <w:rPr>
                <w:rFonts w:ascii="宋体" w:hAnsi="宋体"/>
                <w:color w:val="000000"/>
                <w:kern w:val="0"/>
                <w:szCs w:val="21"/>
              </w:rPr>
              <w:t>保护法》、《节约能源法》《清洁生产促进法》等标准保护环境</w:t>
            </w:r>
          </w:p>
        </w:tc>
        <w:tc>
          <w:tcPr>
            <w:tcW w:w="1676" w:type="dxa"/>
            <w:noWrap w:val="0"/>
            <w:vAlign w:val="center"/>
          </w:tcPr>
          <w:p>
            <w:pPr>
              <w:autoSpaceDE w:val="0"/>
              <w:autoSpaceDN w:val="0"/>
              <w:jc w:val="center"/>
              <w:rPr>
                <w:rFonts w:ascii="宋体" w:hAnsi="宋体"/>
                <w:color w:val="000000"/>
                <w:szCs w:val="21"/>
              </w:rPr>
            </w:pPr>
            <w:r>
              <w:rPr>
                <w:rFonts w:ascii="宋体" w:hAnsi="宋体"/>
                <w:color w:val="000000"/>
                <w:kern w:val="0"/>
                <w:szCs w:val="21"/>
              </w:rPr>
              <w:t>节能减排目标</w:t>
            </w:r>
            <w:r>
              <w:rPr>
                <w:rFonts w:hint="eastAsia" w:ascii="宋体" w:hAnsi="宋体"/>
                <w:color w:val="000000"/>
                <w:kern w:val="0"/>
                <w:szCs w:val="21"/>
              </w:rPr>
              <w:t>、</w:t>
            </w:r>
            <w:r>
              <w:rPr>
                <w:rFonts w:ascii="宋体" w:hAnsi="宋体"/>
                <w:color w:val="000000"/>
                <w:kern w:val="0"/>
                <w:szCs w:val="21"/>
              </w:rPr>
              <w:t>指标</w:t>
            </w:r>
          </w:p>
        </w:tc>
      </w:tr>
    </w:tbl>
    <w:p>
      <w:pPr>
        <w:spacing w:line="360" w:lineRule="auto"/>
        <w:ind w:firstLine="420"/>
        <w:rPr>
          <w:rFonts w:hint="eastAsia" w:ascii="宋体" w:hAnsi="宋体" w:cs="仿宋_GB2312"/>
          <w:bCs/>
          <w:color w:val="000000"/>
          <w:kern w:val="0"/>
          <w:sz w:val="24"/>
        </w:rPr>
      </w:pPr>
      <w:r>
        <w:rPr>
          <w:rFonts w:hint="eastAsia" w:ascii="宋体" w:hAnsi="宋体" w:cs="仿宋_GB2312"/>
          <w:bCs/>
          <w:color w:val="000000"/>
          <w:kern w:val="0"/>
          <w:sz w:val="24"/>
        </w:rPr>
        <w:t>公司严格执行各项法律法规，努力与客户、供方等相关方建立和维持良好的合作关系，不断提高企业美誉度，树立良好企业形象。</w:t>
      </w:r>
    </w:p>
    <w:p>
      <w:pPr>
        <w:spacing w:line="360" w:lineRule="auto"/>
        <w:ind w:firstLine="420"/>
        <w:rPr>
          <w:rFonts w:hint="eastAsia" w:ascii="宋体" w:hAnsi="宋体" w:cs="仿宋_GB2312"/>
          <w:bCs/>
          <w:color w:val="000000"/>
          <w:kern w:val="0"/>
          <w:sz w:val="24"/>
        </w:rPr>
      </w:pPr>
      <w:r>
        <w:rPr>
          <w:rFonts w:hint="eastAsia" w:ascii="宋体" w:hAnsi="宋体" w:cs="仿宋_GB2312"/>
          <w:bCs/>
          <w:color w:val="000000"/>
          <w:kern w:val="0"/>
          <w:sz w:val="24"/>
        </w:rPr>
        <w:t>1）顾客：新客户每年增加,没有发生任何产品质量问题和其他原因合同上的纠纷。</w:t>
      </w:r>
    </w:p>
    <w:p>
      <w:pPr>
        <w:spacing w:line="360" w:lineRule="auto"/>
        <w:ind w:firstLine="420"/>
        <w:rPr>
          <w:rFonts w:hint="eastAsia" w:ascii="宋体" w:hAnsi="宋体" w:cs="仿宋_GB2312"/>
          <w:bCs/>
          <w:color w:val="000000"/>
          <w:kern w:val="0"/>
          <w:sz w:val="24"/>
        </w:rPr>
      </w:pPr>
      <w:r>
        <w:rPr>
          <w:rFonts w:hint="eastAsia" w:ascii="宋体" w:hAnsi="宋体" w:cs="仿宋_GB2312"/>
          <w:bCs/>
          <w:color w:val="000000"/>
          <w:kern w:val="0"/>
          <w:sz w:val="24"/>
        </w:rPr>
        <w:t>2）供方：合同履约率为100%，没有发生一起因货款问题而引起的司法纠纷。</w:t>
      </w:r>
    </w:p>
    <w:p>
      <w:pPr>
        <w:spacing w:line="360" w:lineRule="auto"/>
        <w:ind w:firstLine="420"/>
        <w:rPr>
          <w:rFonts w:hint="eastAsia" w:ascii="宋体" w:hAnsi="宋体" w:cs="仿宋_GB2312"/>
          <w:bCs/>
          <w:color w:val="000000"/>
          <w:kern w:val="0"/>
          <w:sz w:val="24"/>
        </w:rPr>
      </w:pPr>
      <w:r>
        <w:rPr>
          <w:rFonts w:hint="eastAsia" w:ascii="宋体" w:hAnsi="宋体" w:cs="仿宋_GB2312"/>
          <w:bCs/>
          <w:color w:val="000000"/>
          <w:kern w:val="0"/>
          <w:sz w:val="24"/>
        </w:rPr>
        <w:t>3）环保：从没发生过因环保引起的周边群众投诉,多年来受到环保局的好评。</w:t>
      </w:r>
    </w:p>
    <w:p>
      <w:pPr>
        <w:spacing w:line="360" w:lineRule="auto"/>
        <w:ind w:firstLine="420"/>
        <w:rPr>
          <w:rFonts w:hint="eastAsia" w:ascii="宋体" w:hAnsi="宋体" w:cs="仿宋_GB2312"/>
          <w:bCs/>
          <w:kern w:val="0"/>
          <w:sz w:val="24"/>
        </w:rPr>
      </w:pPr>
      <w:r>
        <w:rPr>
          <w:rFonts w:hint="eastAsia" w:ascii="宋体" w:hAnsi="宋体" w:cs="仿宋_GB2312"/>
          <w:bCs/>
          <w:color w:val="000000"/>
          <w:kern w:val="0"/>
          <w:sz w:val="24"/>
        </w:rPr>
        <w:t>4）</w:t>
      </w:r>
      <w:r>
        <w:rPr>
          <w:rFonts w:hint="eastAsia" w:ascii="宋体" w:hAnsi="宋体" w:cs="仿宋_GB2312"/>
          <w:bCs/>
          <w:color w:val="000000"/>
          <w:kern w:val="0"/>
          <w:sz w:val="24"/>
          <w:lang w:eastAsia="zh-CN"/>
        </w:rPr>
        <w:t>诚信</w:t>
      </w:r>
      <w:r>
        <w:rPr>
          <w:rFonts w:hint="eastAsia" w:ascii="宋体" w:hAnsi="宋体" w:cs="仿宋_GB2312"/>
          <w:bCs/>
          <w:color w:val="000000"/>
          <w:kern w:val="0"/>
          <w:sz w:val="24"/>
        </w:rPr>
        <w:t>：</w:t>
      </w:r>
      <w:r>
        <w:rPr>
          <w:rFonts w:hint="eastAsia" w:ascii="宋体" w:hAnsi="宋体"/>
          <w:sz w:val="24"/>
          <w:szCs w:val="24"/>
        </w:rPr>
        <w:t>AAA级守合同重信用公示企业</w:t>
      </w:r>
      <w:r>
        <w:rPr>
          <w:rFonts w:hint="eastAsia" w:ascii="宋体" w:hAnsi="宋体" w:cs="仿宋_GB2312"/>
          <w:bCs/>
          <w:kern w:val="0"/>
          <w:sz w:val="24"/>
        </w:rPr>
        <w:t>。</w:t>
      </w:r>
    </w:p>
    <w:p>
      <w:pPr>
        <w:pStyle w:val="3"/>
        <w:numPr>
          <w:ilvl w:val="0"/>
          <w:numId w:val="0"/>
        </w:numPr>
        <w:spacing w:before="0" w:after="0" w:line="360" w:lineRule="auto"/>
        <w:rPr>
          <w:rFonts w:hint="eastAsia" w:ascii="宋体" w:hAnsi="宋体"/>
        </w:rPr>
      </w:pPr>
      <w:bookmarkStart w:id="18" w:name="_Toc23239"/>
      <w:r>
        <w:rPr>
          <w:rFonts w:hint="eastAsia" w:ascii="宋体" w:hAnsi="宋体"/>
        </w:rPr>
        <w:t>2.7公益支持</w:t>
      </w:r>
      <w:bookmarkEnd w:id="18"/>
    </w:p>
    <w:p>
      <w:pPr>
        <w:pStyle w:val="47"/>
        <w:widowControl/>
        <w:spacing w:line="360" w:lineRule="auto"/>
        <w:ind w:firstLineChars="0"/>
        <w:jc w:val="left"/>
        <w:rPr>
          <w:rFonts w:ascii="宋体" w:hAnsi="宋体" w:eastAsia="宋体"/>
          <w:szCs w:val="24"/>
        </w:rPr>
      </w:pPr>
      <w:r>
        <w:rPr>
          <w:rFonts w:ascii="宋体" w:hAnsi="宋体" w:eastAsia="宋体"/>
          <w:szCs w:val="24"/>
        </w:rPr>
        <w:t>公司热心公益</w:t>
      </w:r>
      <w:r>
        <w:rPr>
          <w:rFonts w:hint="eastAsia" w:ascii="宋体" w:hAnsi="宋体" w:eastAsia="宋体"/>
          <w:szCs w:val="24"/>
        </w:rPr>
        <w:t>慈</w:t>
      </w:r>
      <w:r>
        <w:rPr>
          <w:rFonts w:ascii="宋体" w:hAnsi="宋体" w:eastAsia="宋体"/>
          <w:szCs w:val="24"/>
        </w:rPr>
        <w:t>善事业，积极承担企业的社会责任。为地方各</w:t>
      </w:r>
      <w:r>
        <w:rPr>
          <w:rFonts w:hint="eastAsia" w:ascii="宋体" w:hAnsi="宋体" w:eastAsia="宋体"/>
          <w:szCs w:val="24"/>
        </w:rPr>
        <w:t>项</w:t>
      </w:r>
      <w:r>
        <w:rPr>
          <w:rFonts w:ascii="宋体" w:hAnsi="宋体" w:eastAsia="宋体"/>
          <w:szCs w:val="24"/>
        </w:rPr>
        <w:t>事业发展出谋划策</w:t>
      </w:r>
      <w:r>
        <w:rPr>
          <w:rFonts w:hint="eastAsia" w:ascii="宋体" w:hAnsi="宋体" w:eastAsia="宋体"/>
          <w:szCs w:val="24"/>
        </w:rPr>
        <w:t>、</w:t>
      </w:r>
      <w:r>
        <w:rPr>
          <w:rFonts w:ascii="宋体" w:hAnsi="宋体" w:eastAsia="宋体"/>
          <w:szCs w:val="24"/>
        </w:rPr>
        <w:t>贡献</w:t>
      </w:r>
      <w:r>
        <w:rPr>
          <w:rFonts w:hint="eastAsia" w:ascii="宋体" w:hAnsi="宋体" w:eastAsia="宋体"/>
          <w:szCs w:val="24"/>
        </w:rPr>
        <w:t>力</w:t>
      </w:r>
      <w:r>
        <w:rPr>
          <w:rFonts w:ascii="宋体" w:hAnsi="宋体" w:eastAsia="宋体"/>
          <w:szCs w:val="24"/>
        </w:rPr>
        <w:t>量。</w:t>
      </w:r>
    </w:p>
    <w:p>
      <w:pPr>
        <w:widowControl/>
        <w:spacing w:line="360" w:lineRule="auto"/>
        <w:ind w:firstLine="420" w:firstLineChars="200"/>
        <w:jc w:val="left"/>
        <w:rPr>
          <w:rFonts w:ascii="宋体" w:hAnsi="宋体"/>
          <w:sz w:val="24"/>
        </w:rPr>
      </w:pPr>
      <w:r>
        <w:rPr>
          <w:rFonts w:hint="eastAsia" w:ascii="宋体" w:hAnsi="宋体" w:eastAsia="宋体"/>
          <w:szCs w:val="24"/>
        </w:rPr>
        <w:t>公司依法纳税，202</w:t>
      </w:r>
      <w:r>
        <w:rPr>
          <w:rFonts w:hint="eastAsia" w:ascii="宋体" w:hAnsi="宋体"/>
          <w:szCs w:val="24"/>
          <w:lang w:val="en-US" w:eastAsia="zh-CN"/>
        </w:rPr>
        <w:t>1</w:t>
      </w:r>
      <w:r>
        <w:rPr>
          <w:rFonts w:hint="eastAsia" w:ascii="宋体" w:hAnsi="宋体" w:eastAsia="宋体"/>
          <w:szCs w:val="24"/>
        </w:rPr>
        <w:t>年公司纳税达</w:t>
      </w:r>
      <w:r>
        <w:rPr>
          <w:rFonts w:hint="eastAsia" w:ascii="宋体" w:hAnsi="宋体"/>
          <w:szCs w:val="24"/>
          <w:lang w:val="en-US" w:eastAsia="zh-CN"/>
        </w:rPr>
        <w:t>912</w:t>
      </w:r>
      <w:r>
        <w:rPr>
          <w:rFonts w:hint="eastAsia" w:ascii="宋体" w:hAnsi="宋体" w:eastAsia="宋体"/>
          <w:szCs w:val="24"/>
        </w:rPr>
        <w:t>万元</w:t>
      </w:r>
      <w:r>
        <w:rPr>
          <w:rFonts w:hint="eastAsia" w:ascii="宋体" w:hAnsi="宋体"/>
          <w:sz w:val="24"/>
        </w:rPr>
        <w:t>。</w:t>
      </w:r>
    </w:p>
    <w:p>
      <w:pPr>
        <w:pStyle w:val="3"/>
        <w:numPr>
          <w:ilvl w:val="0"/>
          <w:numId w:val="0"/>
        </w:numPr>
        <w:spacing w:before="0" w:after="0" w:line="360" w:lineRule="auto"/>
        <w:rPr>
          <w:rFonts w:ascii="宋体" w:hAnsi="宋体"/>
          <w:sz w:val="32"/>
        </w:rPr>
      </w:pPr>
      <w:r>
        <w:rPr>
          <w:rFonts w:hint="eastAsia" w:ascii="宋体" w:hAnsi="宋体"/>
          <w:sz w:val="32"/>
        </w:rPr>
        <w:br w:type="page"/>
      </w:r>
      <w:bookmarkStart w:id="19" w:name="_Toc11035"/>
      <w:r>
        <w:rPr>
          <w:rFonts w:hint="eastAsia" w:ascii="宋体" w:hAnsi="宋体"/>
          <w:sz w:val="32"/>
        </w:rPr>
        <w:t>三、总结与展望</w:t>
      </w:r>
      <w:bookmarkEnd w:id="19"/>
    </w:p>
    <w:p>
      <w:pPr>
        <w:spacing w:line="360" w:lineRule="auto"/>
        <w:rPr>
          <w:rFonts w:hint="eastAsia" w:ascii="宋体" w:hAnsi="宋体" w:cs="宋体"/>
          <w:color w:val="000000"/>
          <w:sz w:val="24"/>
          <w:shd w:val="clear" w:color="auto" w:fill="FFFFFF"/>
        </w:rPr>
      </w:pPr>
      <w:r>
        <w:rPr>
          <w:rFonts w:hint="eastAsia"/>
          <w:color w:val="000000"/>
          <w:sz w:val="18"/>
          <w:szCs w:val="18"/>
        </w:rPr>
        <w:t xml:space="preserve">     </w:t>
      </w:r>
      <w:r>
        <w:rPr>
          <w:rFonts w:hint="eastAsia" w:ascii="宋体" w:hAnsi="宋体"/>
          <w:sz w:val="24"/>
        </w:rPr>
        <w:t>20</w:t>
      </w:r>
      <w:r>
        <w:rPr>
          <w:rFonts w:ascii="宋体" w:hAnsi="宋体"/>
          <w:sz w:val="24"/>
        </w:rPr>
        <w:t>2</w:t>
      </w:r>
      <w:r>
        <w:rPr>
          <w:rFonts w:hint="eastAsia" w:ascii="宋体" w:hAnsi="宋体"/>
          <w:sz w:val="24"/>
          <w:lang w:val="en-US" w:eastAsia="zh-CN"/>
        </w:rPr>
        <w:t>2</w:t>
      </w:r>
      <w:r>
        <w:rPr>
          <w:rFonts w:hint="eastAsia" w:ascii="宋体" w:hAnsi="宋体"/>
          <w:sz w:val="24"/>
        </w:rPr>
        <w:t>年，公司严格按照法律法规等有关规定，切实维护了股东、员工权益、在追求经济利益的同时，遵守社会公德、商业道德，提倡绿色环保，积极参与公益及慈善事业，</w:t>
      </w:r>
      <w:r>
        <w:rPr>
          <w:rFonts w:hint="eastAsia" w:ascii="宋体" w:hAnsi="宋体" w:cs="宋体"/>
          <w:color w:val="000000"/>
          <w:sz w:val="24"/>
          <w:shd w:val="clear" w:color="auto" w:fill="FFFFFF"/>
        </w:rPr>
        <w:t>在全体员工的共同努力下，公司履行社会责任的成果也获得了各利益相关方及社会各界的肯定与认可。但与此同时，公司对社会责任履行工作的系统规划性还不够，社会责任履行仍然还有一定的提升空间。</w:t>
      </w:r>
    </w:p>
    <w:p>
      <w:pPr>
        <w:spacing w:line="360" w:lineRule="auto"/>
        <w:ind w:firstLine="480" w:firstLineChars="200"/>
        <w:rPr>
          <w:rFonts w:hint="eastAsia" w:ascii="宋体" w:hAnsi="宋体" w:cs="宋体"/>
          <w:color w:val="000000"/>
          <w:sz w:val="24"/>
          <w:shd w:val="clear" w:color="auto" w:fill="FFFFFF"/>
        </w:rPr>
      </w:pPr>
      <w:r>
        <w:rPr>
          <w:rFonts w:hint="eastAsia" w:ascii="宋体" w:hAnsi="宋体" w:cs="宋体"/>
          <w:color w:val="000000"/>
          <w:sz w:val="24"/>
          <w:shd w:val="clear" w:color="auto" w:fill="FFFFFF"/>
        </w:rPr>
        <w:t>未来，</w:t>
      </w:r>
      <w:r>
        <w:rPr>
          <w:rFonts w:hint="eastAsia" w:ascii="宋体" w:hAnsi="宋体" w:cs="宋体"/>
          <w:color w:val="000000"/>
          <w:sz w:val="24"/>
          <w:shd w:val="clear" w:color="auto" w:fill="FFFFFF"/>
          <w:lang w:eastAsia="zh-CN"/>
        </w:rPr>
        <w:t>伟博包装</w:t>
      </w:r>
      <w:r>
        <w:rPr>
          <w:rFonts w:hint="eastAsia" w:ascii="宋体" w:hAnsi="宋体" w:cs="宋体"/>
          <w:color w:val="000000"/>
          <w:sz w:val="24"/>
          <w:shd w:val="clear" w:color="auto" w:fill="FFFFFF"/>
        </w:rPr>
        <w:t>会继续将“社会责任与公司经营”相结合，在努力推动公司持续、稳健向前发展的同时，积极履行企业公民义务，着力维护各相关方利益，促进企业与社会、以及自然环境的和谐发展，为建设环境友好型和资源节约型社会做出应有的贡献，继续成为受人尊敬的企业。</w:t>
      </w:r>
    </w:p>
    <w:sectPr>
      <w:footerReference r:id="rId7" w:type="first"/>
      <w:footerReference r:id="rId5" w:type="default"/>
      <w:footerReference r:id="rId6" w:type="even"/>
      <w:pgSz w:w="11906" w:h="16838"/>
      <w:pgMar w:top="1440" w:right="1800" w:bottom="1440" w:left="1800" w:header="851" w:footer="0"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PAGE   \* MERGEFORMAT</w:instrText>
                          </w:r>
                          <w:r>
                            <w:fldChar w:fldCharType="separate"/>
                          </w:r>
                          <w:r>
                            <w:rPr>
                              <w:lang w:val="zh-CN"/>
                            </w:rP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4</w:t>
    </w:r>
    <w:r>
      <w:fldChar w:fldCharType="end"/>
    </w:r>
  </w:p>
  <w:p>
    <w:pPr>
      <w:pStyle w:val="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ascii="Calibri" w:hAnsi="Calibri"/>
      </w:rPr>
      <w:t xml:space="preserve">                                                      </w:t>
    </w:r>
    <w:r>
      <w:rPr>
        <w:rFonts w:ascii="Calibri" w:hAnsi="Calibri"/>
      </w:rPr>
      <w:t xml:space="preserve"> </w:t>
    </w:r>
    <w:r>
      <w:rPr>
        <w:rFonts w:hint="eastAsia" w:ascii="Calibri" w:hAnsi="Calibri"/>
      </w:rPr>
      <w:t xml:space="preserve">            </w:t>
    </w:r>
    <w:r>
      <w:rPr>
        <w:rFonts w:hint="eastAsia" w:ascii="宋体" w:hAnsi="宋体"/>
        <w:sz w:val="21"/>
        <w:szCs w:val="21"/>
      </w:rPr>
      <w:t>20</w:t>
    </w:r>
    <w:r>
      <w:rPr>
        <w:rFonts w:hint="eastAsia" w:ascii="宋体" w:hAnsi="宋体"/>
        <w:sz w:val="21"/>
        <w:szCs w:val="21"/>
        <w:lang w:val="en-US" w:eastAsia="zh-CN"/>
      </w:rPr>
      <w:t>22</w:t>
    </w:r>
    <w:r>
      <w:rPr>
        <w:rFonts w:hint="eastAsia" w:ascii="宋体" w:hAnsi="宋体"/>
        <w:sz w:val="21"/>
        <w:szCs w:val="21"/>
      </w:rPr>
      <w:t>年度社会责任报告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adjustRightInd w:val="0"/>
      <w:snapToGrid w:val="0"/>
      <w:jc w:val="left"/>
      <w:rPr>
        <w:rFonts w:ascii="宋体" w:hAnsi="宋体"/>
        <w:szCs w:val="21"/>
      </w:rPr>
    </w:pPr>
    <w:r>
      <w:rPr>
        <w:rFonts w:hint="eastAsia" w:ascii="Calibri" w:hAnsi="Calibri"/>
        <w:sz w:val="18"/>
        <w:szCs w:val="18"/>
      </w:rPr>
      <w:t xml:space="preserve">         </w:t>
    </w:r>
    <w:r>
      <w:rPr>
        <w:rFonts w:ascii="Calibri" w:hAnsi="Calibri"/>
        <w:sz w:val="18"/>
        <w:szCs w:val="18"/>
      </w:rPr>
      <w:t xml:space="preserve"> </w:t>
    </w:r>
    <w:r>
      <w:rPr>
        <w:rFonts w:hint="eastAsia" w:ascii="Calibri" w:hAnsi="Calibri"/>
        <w:sz w:val="18"/>
        <w:szCs w:val="18"/>
      </w:rPr>
      <w:t xml:space="preserve">                                                          </w:t>
    </w:r>
    <w:r>
      <w:rPr>
        <w:rFonts w:hint="eastAsia" w:ascii="宋体" w:hAnsi="宋体"/>
        <w:szCs w:val="21"/>
      </w:rPr>
      <w:t>20</w:t>
    </w:r>
    <w:r>
      <w:rPr>
        <w:rFonts w:hint="eastAsia" w:ascii="宋体" w:hAnsi="宋体"/>
        <w:szCs w:val="21"/>
        <w:lang w:val="en-US" w:eastAsia="zh-CN"/>
      </w:rPr>
      <w:t>22</w:t>
    </w:r>
    <w:r>
      <w:rPr>
        <w:rFonts w:hint="eastAsia" w:ascii="宋体" w:hAnsi="宋体"/>
        <w:szCs w:val="21"/>
      </w:rPr>
      <w:t>年度社会责任报告</w:t>
    </w:r>
    <w:r>
      <w:rPr>
        <w:rFonts w:ascii="宋体" w:hAnsi="宋体"/>
        <w:szCs w:val="21"/>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E690D"/>
    <w:multiLevelType w:val="multilevel"/>
    <w:tmpl w:val="0B3E690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88A75DD"/>
    <w:multiLevelType w:val="multilevel"/>
    <w:tmpl w:val="288A75DD"/>
    <w:lvl w:ilvl="0" w:tentative="0">
      <w:start w:val="1"/>
      <w:numFmt w:val="decimal"/>
      <w:pStyle w:val="3"/>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E95C1B"/>
    <w:multiLevelType w:val="multilevel"/>
    <w:tmpl w:val="3DE95C1B"/>
    <w:lvl w:ilvl="0" w:tentative="0">
      <w:start w:val="1"/>
      <w:numFmt w:val="bullet"/>
      <w:lvlText w:val=""/>
      <w:lvlJc w:val="left"/>
      <w:pPr>
        <w:ind w:left="360" w:hanging="36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578A603"/>
    <w:multiLevelType w:val="singleLevel"/>
    <w:tmpl w:val="4578A603"/>
    <w:lvl w:ilvl="0" w:tentative="0">
      <w:start w:val="1"/>
      <w:numFmt w:val="decimal"/>
      <w:lvlText w:val="%1."/>
      <w:lvlJc w:val="left"/>
      <w:pPr>
        <w:tabs>
          <w:tab w:val="left" w:pos="312"/>
        </w:tabs>
      </w:pPr>
    </w:lvl>
  </w:abstractNum>
  <w:abstractNum w:abstractNumId="4">
    <w:nsid w:val="799767ED"/>
    <w:multiLevelType w:val="multilevel"/>
    <w:tmpl w:val="799767ED"/>
    <w:lvl w:ilvl="0" w:tentative="0">
      <w:start w:val="1"/>
      <w:numFmt w:val="decimal"/>
      <w:pStyle w:val="16"/>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F4E1C87"/>
    <w:multiLevelType w:val="multilevel"/>
    <w:tmpl w:val="7F4E1C87"/>
    <w:lvl w:ilvl="0" w:tentative="0">
      <w:start w:val="1"/>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mZGQ4OWNiZTA0ODgzMmQ2ODM5M2UwMjU2MDcxMjgifQ=="/>
  </w:docVars>
  <w:rsids>
    <w:rsidRoot w:val="00DB7C9A"/>
    <w:rsid w:val="00002461"/>
    <w:rsid w:val="0000353F"/>
    <w:rsid w:val="00004ED4"/>
    <w:rsid w:val="00016057"/>
    <w:rsid w:val="000173DD"/>
    <w:rsid w:val="00031C5E"/>
    <w:rsid w:val="000335AD"/>
    <w:rsid w:val="00034B70"/>
    <w:rsid w:val="0005564E"/>
    <w:rsid w:val="00056309"/>
    <w:rsid w:val="00063C83"/>
    <w:rsid w:val="000678F1"/>
    <w:rsid w:val="000708A3"/>
    <w:rsid w:val="000742CE"/>
    <w:rsid w:val="000763B9"/>
    <w:rsid w:val="00092D02"/>
    <w:rsid w:val="00096A89"/>
    <w:rsid w:val="000A5555"/>
    <w:rsid w:val="000C52B9"/>
    <w:rsid w:val="000C57CD"/>
    <w:rsid w:val="000D7EA3"/>
    <w:rsid w:val="000D7ED7"/>
    <w:rsid w:val="000E0C6B"/>
    <w:rsid w:val="000E469B"/>
    <w:rsid w:val="000E57FB"/>
    <w:rsid w:val="000E7820"/>
    <w:rsid w:val="000F101C"/>
    <w:rsid w:val="000F16CA"/>
    <w:rsid w:val="001107AE"/>
    <w:rsid w:val="00115819"/>
    <w:rsid w:val="00121F75"/>
    <w:rsid w:val="00124185"/>
    <w:rsid w:val="00126EC9"/>
    <w:rsid w:val="00132810"/>
    <w:rsid w:val="00140843"/>
    <w:rsid w:val="00140EF5"/>
    <w:rsid w:val="0014567F"/>
    <w:rsid w:val="00151184"/>
    <w:rsid w:val="0015626E"/>
    <w:rsid w:val="00157B00"/>
    <w:rsid w:val="0017335D"/>
    <w:rsid w:val="00195D12"/>
    <w:rsid w:val="001A0769"/>
    <w:rsid w:val="001C1AB0"/>
    <w:rsid w:val="001C2C61"/>
    <w:rsid w:val="001E304E"/>
    <w:rsid w:val="001E35EE"/>
    <w:rsid w:val="001F68C0"/>
    <w:rsid w:val="001F6F0C"/>
    <w:rsid w:val="002154DD"/>
    <w:rsid w:val="0023221F"/>
    <w:rsid w:val="0025594F"/>
    <w:rsid w:val="0025791C"/>
    <w:rsid w:val="00262CE7"/>
    <w:rsid w:val="00264AB5"/>
    <w:rsid w:val="002700C2"/>
    <w:rsid w:val="00274FC5"/>
    <w:rsid w:val="00286705"/>
    <w:rsid w:val="00292082"/>
    <w:rsid w:val="00294516"/>
    <w:rsid w:val="00295255"/>
    <w:rsid w:val="00297B6A"/>
    <w:rsid w:val="002A3A7D"/>
    <w:rsid w:val="002A54D1"/>
    <w:rsid w:val="002A7C0D"/>
    <w:rsid w:val="002B0B36"/>
    <w:rsid w:val="002C4CD5"/>
    <w:rsid w:val="002D28B6"/>
    <w:rsid w:val="002D6B5A"/>
    <w:rsid w:val="002E367C"/>
    <w:rsid w:val="002E4253"/>
    <w:rsid w:val="002F3A02"/>
    <w:rsid w:val="002F45A1"/>
    <w:rsid w:val="002F5D69"/>
    <w:rsid w:val="003023AC"/>
    <w:rsid w:val="00302922"/>
    <w:rsid w:val="0030317E"/>
    <w:rsid w:val="00307234"/>
    <w:rsid w:val="00307EA7"/>
    <w:rsid w:val="003205A3"/>
    <w:rsid w:val="00321746"/>
    <w:rsid w:val="00323242"/>
    <w:rsid w:val="00326D60"/>
    <w:rsid w:val="003274DF"/>
    <w:rsid w:val="003344CA"/>
    <w:rsid w:val="00337AF5"/>
    <w:rsid w:val="00343A13"/>
    <w:rsid w:val="003476D0"/>
    <w:rsid w:val="00351E97"/>
    <w:rsid w:val="003522D7"/>
    <w:rsid w:val="00355252"/>
    <w:rsid w:val="003569FD"/>
    <w:rsid w:val="00367D86"/>
    <w:rsid w:val="00376CB3"/>
    <w:rsid w:val="00377AE9"/>
    <w:rsid w:val="00380A71"/>
    <w:rsid w:val="00384AD6"/>
    <w:rsid w:val="00391CA8"/>
    <w:rsid w:val="003C4680"/>
    <w:rsid w:val="003D64A5"/>
    <w:rsid w:val="003D7334"/>
    <w:rsid w:val="003E3B5A"/>
    <w:rsid w:val="003E7057"/>
    <w:rsid w:val="003F0131"/>
    <w:rsid w:val="00405A96"/>
    <w:rsid w:val="00422F47"/>
    <w:rsid w:val="004232CE"/>
    <w:rsid w:val="00431341"/>
    <w:rsid w:val="00437E1C"/>
    <w:rsid w:val="00441EF2"/>
    <w:rsid w:val="00443B14"/>
    <w:rsid w:val="004516CB"/>
    <w:rsid w:val="004554FF"/>
    <w:rsid w:val="00455D74"/>
    <w:rsid w:val="00462EB6"/>
    <w:rsid w:val="00463F0F"/>
    <w:rsid w:val="00482BCE"/>
    <w:rsid w:val="00486FAC"/>
    <w:rsid w:val="00487E7C"/>
    <w:rsid w:val="00490A17"/>
    <w:rsid w:val="0049308B"/>
    <w:rsid w:val="004A043F"/>
    <w:rsid w:val="004A1CF0"/>
    <w:rsid w:val="004A33FD"/>
    <w:rsid w:val="004A7312"/>
    <w:rsid w:val="004C33C4"/>
    <w:rsid w:val="004D6375"/>
    <w:rsid w:val="004E0DC4"/>
    <w:rsid w:val="004E20F3"/>
    <w:rsid w:val="004E749B"/>
    <w:rsid w:val="004F3092"/>
    <w:rsid w:val="005023BA"/>
    <w:rsid w:val="00503C7F"/>
    <w:rsid w:val="00512126"/>
    <w:rsid w:val="00512C47"/>
    <w:rsid w:val="00521C04"/>
    <w:rsid w:val="0052686F"/>
    <w:rsid w:val="00532A4D"/>
    <w:rsid w:val="0054763D"/>
    <w:rsid w:val="00553315"/>
    <w:rsid w:val="00553578"/>
    <w:rsid w:val="00557016"/>
    <w:rsid w:val="005613D0"/>
    <w:rsid w:val="00562745"/>
    <w:rsid w:val="005630AE"/>
    <w:rsid w:val="00566679"/>
    <w:rsid w:val="00586C43"/>
    <w:rsid w:val="0059019E"/>
    <w:rsid w:val="0059626D"/>
    <w:rsid w:val="005A0EB5"/>
    <w:rsid w:val="005A0EFD"/>
    <w:rsid w:val="005A44DE"/>
    <w:rsid w:val="005B23E6"/>
    <w:rsid w:val="005B3E16"/>
    <w:rsid w:val="005B55B0"/>
    <w:rsid w:val="005D25E6"/>
    <w:rsid w:val="005D550E"/>
    <w:rsid w:val="005D554C"/>
    <w:rsid w:val="005F1FC1"/>
    <w:rsid w:val="005F2B38"/>
    <w:rsid w:val="0060577A"/>
    <w:rsid w:val="00605C0C"/>
    <w:rsid w:val="00612F5A"/>
    <w:rsid w:val="00620E31"/>
    <w:rsid w:val="00623308"/>
    <w:rsid w:val="00625F91"/>
    <w:rsid w:val="00647153"/>
    <w:rsid w:val="00651E69"/>
    <w:rsid w:val="0066031E"/>
    <w:rsid w:val="00666DDB"/>
    <w:rsid w:val="006714BD"/>
    <w:rsid w:val="00674293"/>
    <w:rsid w:val="00681D0E"/>
    <w:rsid w:val="00682259"/>
    <w:rsid w:val="00684C87"/>
    <w:rsid w:val="00687578"/>
    <w:rsid w:val="006A628C"/>
    <w:rsid w:val="006B49FC"/>
    <w:rsid w:val="006B5814"/>
    <w:rsid w:val="006C0217"/>
    <w:rsid w:val="006D45EB"/>
    <w:rsid w:val="006F436E"/>
    <w:rsid w:val="006F52F0"/>
    <w:rsid w:val="00707A8C"/>
    <w:rsid w:val="00720B9D"/>
    <w:rsid w:val="007229E1"/>
    <w:rsid w:val="00730E96"/>
    <w:rsid w:val="00737DCE"/>
    <w:rsid w:val="00751AA8"/>
    <w:rsid w:val="007573F1"/>
    <w:rsid w:val="00773B47"/>
    <w:rsid w:val="00776B03"/>
    <w:rsid w:val="00780445"/>
    <w:rsid w:val="00780961"/>
    <w:rsid w:val="00782595"/>
    <w:rsid w:val="00784B8A"/>
    <w:rsid w:val="00793EBF"/>
    <w:rsid w:val="00795E3A"/>
    <w:rsid w:val="007969C6"/>
    <w:rsid w:val="007A3B41"/>
    <w:rsid w:val="007A4D23"/>
    <w:rsid w:val="007B01D0"/>
    <w:rsid w:val="007B1606"/>
    <w:rsid w:val="007B403D"/>
    <w:rsid w:val="007C3860"/>
    <w:rsid w:val="007D10FC"/>
    <w:rsid w:val="007D12CC"/>
    <w:rsid w:val="007D1466"/>
    <w:rsid w:val="007D17A4"/>
    <w:rsid w:val="007D33B3"/>
    <w:rsid w:val="007E46EB"/>
    <w:rsid w:val="007E7C08"/>
    <w:rsid w:val="007F42AF"/>
    <w:rsid w:val="008014CC"/>
    <w:rsid w:val="0080456E"/>
    <w:rsid w:val="00811D29"/>
    <w:rsid w:val="0082049D"/>
    <w:rsid w:val="00834479"/>
    <w:rsid w:val="0084537C"/>
    <w:rsid w:val="00845AB2"/>
    <w:rsid w:val="008465AB"/>
    <w:rsid w:val="00847240"/>
    <w:rsid w:val="00850825"/>
    <w:rsid w:val="0085098E"/>
    <w:rsid w:val="008535DC"/>
    <w:rsid w:val="00853AC6"/>
    <w:rsid w:val="0085779F"/>
    <w:rsid w:val="00867F07"/>
    <w:rsid w:val="008704B1"/>
    <w:rsid w:val="00870E92"/>
    <w:rsid w:val="0088201A"/>
    <w:rsid w:val="00884D14"/>
    <w:rsid w:val="00886EB0"/>
    <w:rsid w:val="008905E5"/>
    <w:rsid w:val="00891903"/>
    <w:rsid w:val="00894DA5"/>
    <w:rsid w:val="00895711"/>
    <w:rsid w:val="00897FDB"/>
    <w:rsid w:val="008B6E39"/>
    <w:rsid w:val="008B72CB"/>
    <w:rsid w:val="008C2A1E"/>
    <w:rsid w:val="008C322C"/>
    <w:rsid w:val="008D5329"/>
    <w:rsid w:val="008D7050"/>
    <w:rsid w:val="008E0875"/>
    <w:rsid w:val="0091301F"/>
    <w:rsid w:val="00915B87"/>
    <w:rsid w:val="00925A12"/>
    <w:rsid w:val="009264B3"/>
    <w:rsid w:val="00930F39"/>
    <w:rsid w:val="00935741"/>
    <w:rsid w:val="00946E00"/>
    <w:rsid w:val="0094740D"/>
    <w:rsid w:val="009506CE"/>
    <w:rsid w:val="00956ED9"/>
    <w:rsid w:val="0095715B"/>
    <w:rsid w:val="009610CB"/>
    <w:rsid w:val="00966450"/>
    <w:rsid w:val="0096680A"/>
    <w:rsid w:val="009744C4"/>
    <w:rsid w:val="009845C4"/>
    <w:rsid w:val="0098573B"/>
    <w:rsid w:val="009951A9"/>
    <w:rsid w:val="00997D6E"/>
    <w:rsid w:val="009A0006"/>
    <w:rsid w:val="009A54B1"/>
    <w:rsid w:val="009A6856"/>
    <w:rsid w:val="009B42C7"/>
    <w:rsid w:val="009B452B"/>
    <w:rsid w:val="009B4F58"/>
    <w:rsid w:val="009B5899"/>
    <w:rsid w:val="009C024B"/>
    <w:rsid w:val="009C39F5"/>
    <w:rsid w:val="009C3CC0"/>
    <w:rsid w:val="009D0F4F"/>
    <w:rsid w:val="009D1185"/>
    <w:rsid w:val="009D49E5"/>
    <w:rsid w:val="009D6134"/>
    <w:rsid w:val="00A02F2C"/>
    <w:rsid w:val="00A06A4A"/>
    <w:rsid w:val="00A1048B"/>
    <w:rsid w:val="00A17779"/>
    <w:rsid w:val="00A17D81"/>
    <w:rsid w:val="00A21B90"/>
    <w:rsid w:val="00A30F55"/>
    <w:rsid w:val="00A365EA"/>
    <w:rsid w:val="00A40018"/>
    <w:rsid w:val="00A46A55"/>
    <w:rsid w:val="00A54118"/>
    <w:rsid w:val="00A56B4C"/>
    <w:rsid w:val="00A730D1"/>
    <w:rsid w:val="00A75234"/>
    <w:rsid w:val="00A77D23"/>
    <w:rsid w:val="00A80433"/>
    <w:rsid w:val="00A8275C"/>
    <w:rsid w:val="00A83A65"/>
    <w:rsid w:val="00A90CB2"/>
    <w:rsid w:val="00A924F7"/>
    <w:rsid w:val="00AA0481"/>
    <w:rsid w:val="00AA586F"/>
    <w:rsid w:val="00AA736E"/>
    <w:rsid w:val="00AC03A8"/>
    <w:rsid w:val="00AC5CAB"/>
    <w:rsid w:val="00AD2C09"/>
    <w:rsid w:val="00AD3FE6"/>
    <w:rsid w:val="00AE228B"/>
    <w:rsid w:val="00AF08B9"/>
    <w:rsid w:val="00AF3898"/>
    <w:rsid w:val="00B01E77"/>
    <w:rsid w:val="00B06FBF"/>
    <w:rsid w:val="00B17F4D"/>
    <w:rsid w:val="00B37BB7"/>
    <w:rsid w:val="00B50014"/>
    <w:rsid w:val="00B50B3D"/>
    <w:rsid w:val="00B56CF1"/>
    <w:rsid w:val="00B6172F"/>
    <w:rsid w:val="00B74FA9"/>
    <w:rsid w:val="00B76874"/>
    <w:rsid w:val="00B76ECE"/>
    <w:rsid w:val="00B863F9"/>
    <w:rsid w:val="00B865D8"/>
    <w:rsid w:val="00B91316"/>
    <w:rsid w:val="00B92B6E"/>
    <w:rsid w:val="00B95852"/>
    <w:rsid w:val="00B97A79"/>
    <w:rsid w:val="00B97ABF"/>
    <w:rsid w:val="00BA0876"/>
    <w:rsid w:val="00BA0B26"/>
    <w:rsid w:val="00BA3F91"/>
    <w:rsid w:val="00BA537F"/>
    <w:rsid w:val="00BA58D5"/>
    <w:rsid w:val="00BA7618"/>
    <w:rsid w:val="00BD4E90"/>
    <w:rsid w:val="00BD7F90"/>
    <w:rsid w:val="00BE2EF3"/>
    <w:rsid w:val="00BE5165"/>
    <w:rsid w:val="00BE53AA"/>
    <w:rsid w:val="00BF3FA2"/>
    <w:rsid w:val="00BF4961"/>
    <w:rsid w:val="00C060BB"/>
    <w:rsid w:val="00C06140"/>
    <w:rsid w:val="00C17A14"/>
    <w:rsid w:val="00C2210C"/>
    <w:rsid w:val="00C3312D"/>
    <w:rsid w:val="00C367C9"/>
    <w:rsid w:val="00C377A2"/>
    <w:rsid w:val="00C415CF"/>
    <w:rsid w:val="00C41C5B"/>
    <w:rsid w:val="00C45046"/>
    <w:rsid w:val="00C60D04"/>
    <w:rsid w:val="00C64CFD"/>
    <w:rsid w:val="00C6655D"/>
    <w:rsid w:val="00C82D6D"/>
    <w:rsid w:val="00C87359"/>
    <w:rsid w:val="00C94B4A"/>
    <w:rsid w:val="00CA0F6E"/>
    <w:rsid w:val="00CB26B1"/>
    <w:rsid w:val="00CB38A3"/>
    <w:rsid w:val="00CB7C7A"/>
    <w:rsid w:val="00CC0D5A"/>
    <w:rsid w:val="00CC27A3"/>
    <w:rsid w:val="00CC6178"/>
    <w:rsid w:val="00CD4E09"/>
    <w:rsid w:val="00CE068D"/>
    <w:rsid w:val="00CE7114"/>
    <w:rsid w:val="00CF1E4A"/>
    <w:rsid w:val="00D0310B"/>
    <w:rsid w:val="00D23F59"/>
    <w:rsid w:val="00D25D06"/>
    <w:rsid w:val="00D27067"/>
    <w:rsid w:val="00D46FC3"/>
    <w:rsid w:val="00D53EAF"/>
    <w:rsid w:val="00D570F4"/>
    <w:rsid w:val="00D57E1C"/>
    <w:rsid w:val="00D65873"/>
    <w:rsid w:val="00D702EF"/>
    <w:rsid w:val="00D758F9"/>
    <w:rsid w:val="00D80F6D"/>
    <w:rsid w:val="00D867D3"/>
    <w:rsid w:val="00D87EEA"/>
    <w:rsid w:val="00D90404"/>
    <w:rsid w:val="00DA5BC0"/>
    <w:rsid w:val="00DB704C"/>
    <w:rsid w:val="00DB7C9A"/>
    <w:rsid w:val="00DC4893"/>
    <w:rsid w:val="00DC7393"/>
    <w:rsid w:val="00DD0D3D"/>
    <w:rsid w:val="00DD292B"/>
    <w:rsid w:val="00DD6C14"/>
    <w:rsid w:val="00DE1F81"/>
    <w:rsid w:val="00DF4438"/>
    <w:rsid w:val="00DF5429"/>
    <w:rsid w:val="00E03F45"/>
    <w:rsid w:val="00E050F7"/>
    <w:rsid w:val="00E055A1"/>
    <w:rsid w:val="00E05901"/>
    <w:rsid w:val="00E12F95"/>
    <w:rsid w:val="00E14AF3"/>
    <w:rsid w:val="00E159FD"/>
    <w:rsid w:val="00E2633B"/>
    <w:rsid w:val="00E273A7"/>
    <w:rsid w:val="00E31E92"/>
    <w:rsid w:val="00E32EA8"/>
    <w:rsid w:val="00E375E9"/>
    <w:rsid w:val="00E37CFE"/>
    <w:rsid w:val="00E406BD"/>
    <w:rsid w:val="00E44E5D"/>
    <w:rsid w:val="00E52861"/>
    <w:rsid w:val="00E55ADF"/>
    <w:rsid w:val="00E66848"/>
    <w:rsid w:val="00E70FED"/>
    <w:rsid w:val="00E76B2D"/>
    <w:rsid w:val="00E76DD8"/>
    <w:rsid w:val="00E82F45"/>
    <w:rsid w:val="00EA06CC"/>
    <w:rsid w:val="00EA1079"/>
    <w:rsid w:val="00EA794E"/>
    <w:rsid w:val="00EC3701"/>
    <w:rsid w:val="00EE2882"/>
    <w:rsid w:val="00EF0B8A"/>
    <w:rsid w:val="00EF0C7C"/>
    <w:rsid w:val="00F01966"/>
    <w:rsid w:val="00F03F9C"/>
    <w:rsid w:val="00F04885"/>
    <w:rsid w:val="00F0511D"/>
    <w:rsid w:val="00F126FA"/>
    <w:rsid w:val="00F34E71"/>
    <w:rsid w:val="00F40DA6"/>
    <w:rsid w:val="00F43BE0"/>
    <w:rsid w:val="00F43C9E"/>
    <w:rsid w:val="00F45705"/>
    <w:rsid w:val="00F4775F"/>
    <w:rsid w:val="00F51687"/>
    <w:rsid w:val="00F52F51"/>
    <w:rsid w:val="00F54A4C"/>
    <w:rsid w:val="00F577CE"/>
    <w:rsid w:val="00F635E2"/>
    <w:rsid w:val="00F64392"/>
    <w:rsid w:val="00F76B00"/>
    <w:rsid w:val="00F83177"/>
    <w:rsid w:val="00F83A77"/>
    <w:rsid w:val="00F94FFE"/>
    <w:rsid w:val="00F966F3"/>
    <w:rsid w:val="00FA1858"/>
    <w:rsid w:val="00FA615F"/>
    <w:rsid w:val="00FC13F8"/>
    <w:rsid w:val="00FE6A10"/>
    <w:rsid w:val="00FF4E14"/>
    <w:rsid w:val="0486014C"/>
    <w:rsid w:val="0548762F"/>
    <w:rsid w:val="0B073AE9"/>
    <w:rsid w:val="109E09E1"/>
    <w:rsid w:val="1125039B"/>
    <w:rsid w:val="113B70B5"/>
    <w:rsid w:val="17940000"/>
    <w:rsid w:val="195318B9"/>
    <w:rsid w:val="1A0B6307"/>
    <w:rsid w:val="1A5F1B0D"/>
    <w:rsid w:val="1AAF27AB"/>
    <w:rsid w:val="1B8D1DAF"/>
    <w:rsid w:val="1CBE2426"/>
    <w:rsid w:val="1DAD2973"/>
    <w:rsid w:val="2150336D"/>
    <w:rsid w:val="25123929"/>
    <w:rsid w:val="2B634901"/>
    <w:rsid w:val="3D2C0B4F"/>
    <w:rsid w:val="3DA655E4"/>
    <w:rsid w:val="3DEA13E7"/>
    <w:rsid w:val="46032B23"/>
    <w:rsid w:val="470A53C0"/>
    <w:rsid w:val="4FFD542C"/>
    <w:rsid w:val="55680E5E"/>
    <w:rsid w:val="5EBA7717"/>
    <w:rsid w:val="6DE86973"/>
    <w:rsid w:val="6E7A6614"/>
    <w:rsid w:val="72966C5A"/>
    <w:rsid w:val="75610383"/>
    <w:rsid w:val="75AB6268"/>
    <w:rsid w:val="7C955781"/>
    <w:rsid w:val="7DDB45D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jc w:val="center"/>
      <w:outlineLvl w:val="0"/>
    </w:pPr>
    <w:rPr>
      <w:b/>
      <w:bCs/>
      <w:kern w:val="44"/>
      <w:sz w:val="44"/>
      <w:szCs w:val="44"/>
    </w:rPr>
  </w:style>
  <w:style w:type="paragraph" w:styleId="3">
    <w:name w:val="heading 2"/>
    <w:basedOn w:val="1"/>
    <w:next w:val="1"/>
    <w:link w:val="25"/>
    <w:qFormat/>
    <w:uiPriority w:val="0"/>
    <w:pPr>
      <w:keepNext/>
      <w:keepLines/>
      <w:numPr>
        <w:ilvl w:val="0"/>
        <w:numId w:val="1"/>
      </w:numPr>
      <w:spacing w:before="260" w:after="260" w:line="416" w:lineRule="auto"/>
      <w:outlineLvl w:val="1"/>
    </w:pPr>
    <w:rPr>
      <w:rFonts w:ascii="Cambria" w:hAnsi="Cambria"/>
      <w:b/>
      <w:bCs/>
      <w:sz w:val="24"/>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4">
    <w:name w:val="caption"/>
    <w:basedOn w:val="1"/>
    <w:next w:val="1"/>
    <w:link w:val="26"/>
    <w:qFormat/>
    <w:uiPriority w:val="0"/>
    <w:pPr>
      <w:spacing w:line="360" w:lineRule="auto"/>
    </w:pPr>
    <w:rPr>
      <w:rFonts w:ascii="Cambria" w:hAnsi="Cambria" w:eastAsia="黑体"/>
      <w:kern w:val="0"/>
      <w:sz w:val="20"/>
      <w:szCs w:val="20"/>
    </w:rPr>
  </w:style>
  <w:style w:type="paragraph" w:styleId="5">
    <w:name w:val="annotation text"/>
    <w:basedOn w:val="1"/>
    <w:link w:val="27"/>
    <w:unhideWhenUsed/>
    <w:qFormat/>
    <w:uiPriority w:val="99"/>
    <w:pPr>
      <w:spacing w:line="284" w:lineRule="auto"/>
      <w:ind w:firstLine="200" w:firstLineChars="200"/>
      <w:jc w:val="left"/>
    </w:pPr>
    <w:rPr>
      <w:szCs w:val="22"/>
    </w:rPr>
  </w:style>
  <w:style w:type="paragraph" w:styleId="6">
    <w:name w:val="toc 3"/>
    <w:basedOn w:val="1"/>
    <w:next w:val="1"/>
    <w:unhideWhenUsed/>
    <w:qFormat/>
    <w:uiPriority w:val="39"/>
    <w:pPr>
      <w:widowControl/>
      <w:spacing w:after="100" w:line="276" w:lineRule="auto"/>
      <w:ind w:left="440"/>
      <w:jc w:val="left"/>
    </w:pPr>
    <w:rPr>
      <w:rFonts w:ascii="等线" w:hAnsi="等线" w:eastAsia="等线" w:cs="Times New Roman"/>
      <w:kern w:val="0"/>
      <w:sz w:val="22"/>
      <w:szCs w:val="22"/>
    </w:rPr>
  </w:style>
  <w:style w:type="paragraph" w:styleId="7">
    <w:name w:val="endnote text"/>
    <w:basedOn w:val="1"/>
    <w:link w:val="28"/>
    <w:qFormat/>
    <w:uiPriority w:val="0"/>
    <w:pPr>
      <w:snapToGrid w:val="0"/>
      <w:jc w:val="left"/>
    </w:pPr>
  </w:style>
  <w:style w:type="paragraph" w:styleId="8">
    <w:name w:val="Balloon Text"/>
    <w:basedOn w:val="1"/>
    <w:link w:val="29"/>
    <w:qFormat/>
    <w:uiPriority w:val="0"/>
    <w:rPr>
      <w:sz w:val="18"/>
      <w:szCs w:val="18"/>
    </w:rPr>
  </w:style>
  <w:style w:type="paragraph" w:styleId="9">
    <w:name w:val="footer"/>
    <w:basedOn w:val="1"/>
    <w:link w:val="30"/>
    <w:qFormat/>
    <w:uiPriority w:val="99"/>
    <w:pPr>
      <w:tabs>
        <w:tab w:val="center" w:pos="4153"/>
        <w:tab w:val="right" w:pos="8306"/>
      </w:tabs>
      <w:snapToGrid w:val="0"/>
      <w:jc w:val="left"/>
    </w:pPr>
    <w:rPr>
      <w:sz w:val="18"/>
      <w:szCs w:val="18"/>
    </w:rPr>
  </w:style>
  <w:style w:type="paragraph" w:styleId="10">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widowControl/>
      <w:tabs>
        <w:tab w:val="right" w:leader="dot" w:pos="8296"/>
      </w:tabs>
      <w:spacing w:after="100" w:line="259" w:lineRule="auto"/>
      <w:jc w:val="left"/>
    </w:pPr>
    <w:rPr>
      <w:rFonts w:ascii="等线" w:hAnsi="等线" w:eastAsia="等线"/>
      <w:kern w:val="0"/>
      <w:sz w:val="22"/>
      <w:szCs w:val="22"/>
    </w:rPr>
  </w:style>
  <w:style w:type="paragraph" w:styleId="12">
    <w:name w:val="Subtitle"/>
    <w:basedOn w:val="1"/>
    <w:next w:val="1"/>
    <w:link w:val="32"/>
    <w:qFormat/>
    <w:uiPriority w:val="0"/>
    <w:pPr>
      <w:spacing w:before="240" w:after="60" w:line="312" w:lineRule="auto"/>
      <w:jc w:val="left"/>
      <w:outlineLvl w:val="1"/>
    </w:pPr>
    <w:rPr>
      <w:rFonts w:ascii="Cambria" w:hAnsi="Cambria"/>
      <w:b/>
      <w:bCs/>
      <w:kern w:val="28"/>
      <w:sz w:val="24"/>
      <w:szCs w:val="32"/>
    </w:rPr>
  </w:style>
  <w:style w:type="paragraph" w:styleId="13">
    <w:name w:val="footnote text"/>
    <w:basedOn w:val="1"/>
    <w:link w:val="33"/>
    <w:qFormat/>
    <w:uiPriority w:val="0"/>
    <w:pPr>
      <w:snapToGrid w:val="0"/>
      <w:jc w:val="left"/>
    </w:pPr>
    <w:rPr>
      <w:sz w:val="18"/>
      <w:szCs w:val="18"/>
    </w:rPr>
  </w:style>
  <w:style w:type="paragraph" w:styleId="14">
    <w:name w:val="toc 2"/>
    <w:basedOn w:val="1"/>
    <w:next w:val="1"/>
    <w:unhideWhenUsed/>
    <w:qFormat/>
    <w:uiPriority w:val="39"/>
    <w:pPr>
      <w:widowControl/>
      <w:tabs>
        <w:tab w:val="right" w:leader="dot" w:pos="8931"/>
      </w:tabs>
      <w:snapToGrid w:val="0"/>
      <w:spacing w:line="500" w:lineRule="exact"/>
      <w:ind w:left="216" w:firstLine="120" w:firstLineChars="50"/>
      <w:jc w:val="left"/>
    </w:pPr>
    <w:rPr>
      <w:rFonts w:ascii="宋体" w:hAnsi="宋体"/>
      <w:color w:val="FF0000"/>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link w:val="34"/>
    <w:qFormat/>
    <w:uiPriority w:val="0"/>
    <w:pPr>
      <w:numPr>
        <w:ilvl w:val="0"/>
        <w:numId w:val="2"/>
      </w:numPr>
      <w:spacing w:before="240" w:after="60"/>
      <w:jc w:val="left"/>
      <w:outlineLvl w:val="0"/>
    </w:pPr>
    <w:rPr>
      <w:rFonts w:ascii="等线 Light" w:hAnsi="等线 Light"/>
      <w:b/>
      <w:bCs/>
      <w:sz w:val="24"/>
      <w:szCs w:val="32"/>
    </w:rPr>
  </w:style>
  <w:style w:type="paragraph" w:styleId="17">
    <w:name w:val="annotation subject"/>
    <w:basedOn w:val="5"/>
    <w:next w:val="5"/>
    <w:link w:val="35"/>
    <w:qFormat/>
    <w:uiPriority w:val="0"/>
    <w:pPr>
      <w:spacing w:line="240" w:lineRule="auto"/>
      <w:ind w:firstLine="0" w:firstLineChars="0"/>
    </w:pPr>
    <w:rPr>
      <w:b/>
      <w:bCs/>
      <w:szCs w:val="24"/>
    </w:rPr>
  </w:style>
  <w:style w:type="table" w:styleId="19">
    <w:name w:val="Table Grid"/>
    <w:basedOn w:val="18"/>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endnote reference"/>
    <w:qFormat/>
    <w:uiPriority w:val="0"/>
    <w:rPr>
      <w:vertAlign w:val="superscript"/>
    </w:rPr>
  </w:style>
  <w:style w:type="character" w:styleId="22">
    <w:name w:val="annotation reference"/>
    <w:unhideWhenUsed/>
    <w:qFormat/>
    <w:uiPriority w:val="99"/>
    <w:rPr>
      <w:sz w:val="21"/>
      <w:szCs w:val="21"/>
    </w:rPr>
  </w:style>
  <w:style w:type="character" w:styleId="23">
    <w:name w:val="footnote reference"/>
    <w:qFormat/>
    <w:uiPriority w:val="0"/>
    <w:rPr>
      <w:vertAlign w:val="superscript"/>
    </w:rPr>
  </w:style>
  <w:style w:type="character" w:customStyle="1" w:styleId="24">
    <w:name w:val="标题 1 字符"/>
    <w:link w:val="2"/>
    <w:qFormat/>
    <w:uiPriority w:val="0"/>
    <w:rPr>
      <w:b/>
      <w:bCs/>
      <w:kern w:val="44"/>
      <w:sz w:val="44"/>
      <w:szCs w:val="44"/>
    </w:rPr>
  </w:style>
  <w:style w:type="character" w:customStyle="1" w:styleId="25">
    <w:name w:val="标题 2 字符"/>
    <w:link w:val="3"/>
    <w:qFormat/>
    <w:uiPriority w:val="0"/>
    <w:rPr>
      <w:rFonts w:ascii="Cambria" w:hAnsi="Cambria"/>
      <w:b/>
      <w:bCs/>
      <w:kern w:val="2"/>
      <w:sz w:val="24"/>
      <w:szCs w:val="32"/>
    </w:rPr>
  </w:style>
  <w:style w:type="character" w:customStyle="1" w:styleId="26">
    <w:name w:val="题注 字符"/>
    <w:link w:val="4"/>
    <w:qFormat/>
    <w:uiPriority w:val="0"/>
    <w:rPr>
      <w:rFonts w:ascii="Cambria" w:hAnsi="Cambria" w:eastAsia="黑体"/>
    </w:rPr>
  </w:style>
  <w:style w:type="character" w:customStyle="1" w:styleId="27">
    <w:name w:val="批注文字 字符"/>
    <w:link w:val="5"/>
    <w:qFormat/>
    <w:uiPriority w:val="99"/>
    <w:rPr>
      <w:kern w:val="2"/>
      <w:sz w:val="21"/>
      <w:szCs w:val="22"/>
    </w:rPr>
  </w:style>
  <w:style w:type="character" w:customStyle="1" w:styleId="28">
    <w:name w:val="尾注文本 字符"/>
    <w:link w:val="7"/>
    <w:qFormat/>
    <w:uiPriority w:val="0"/>
    <w:rPr>
      <w:kern w:val="2"/>
      <w:sz w:val="21"/>
      <w:szCs w:val="24"/>
    </w:rPr>
  </w:style>
  <w:style w:type="character" w:customStyle="1" w:styleId="29">
    <w:name w:val="批注框文本 字符"/>
    <w:link w:val="8"/>
    <w:qFormat/>
    <w:uiPriority w:val="0"/>
    <w:rPr>
      <w:kern w:val="2"/>
      <w:sz w:val="18"/>
      <w:szCs w:val="18"/>
    </w:rPr>
  </w:style>
  <w:style w:type="character" w:customStyle="1" w:styleId="30">
    <w:name w:val="页脚 字符1"/>
    <w:link w:val="9"/>
    <w:qFormat/>
    <w:uiPriority w:val="99"/>
    <w:rPr>
      <w:kern w:val="2"/>
      <w:sz w:val="18"/>
      <w:szCs w:val="18"/>
    </w:rPr>
  </w:style>
  <w:style w:type="character" w:customStyle="1" w:styleId="31">
    <w:name w:val="页眉 字符"/>
    <w:link w:val="10"/>
    <w:qFormat/>
    <w:uiPriority w:val="0"/>
    <w:rPr>
      <w:kern w:val="2"/>
      <w:sz w:val="18"/>
      <w:szCs w:val="18"/>
    </w:rPr>
  </w:style>
  <w:style w:type="character" w:customStyle="1" w:styleId="32">
    <w:name w:val="副标题 字符"/>
    <w:link w:val="12"/>
    <w:qFormat/>
    <w:uiPriority w:val="0"/>
    <w:rPr>
      <w:rFonts w:ascii="Cambria" w:hAnsi="Cambria"/>
      <w:b/>
      <w:bCs/>
      <w:kern w:val="28"/>
      <w:sz w:val="24"/>
      <w:szCs w:val="32"/>
    </w:rPr>
  </w:style>
  <w:style w:type="character" w:customStyle="1" w:styleId="33">
    <w:name w:val="脚注文本 字符"/>
    <w:link w:val="13"/>
    <w:qFormat/>
    <w:uiPriority w:val="0"/>
    <w:rPr>
      <w:kern w:val="2"/>
      <w:sz w:val="18"/>
      <w:szCs w:val="18"/>
    </w:rPr>
  </w:style>
  <w:style w:type="character" w:customStyle="1" w:styleId="34">
    <w:name w:val="标题 字符"/>
    <w:link w:val="16"/>
    <w:qFormat/>
    <w:uiPriority w:val="0"/>
    <w:rPr>
      <w:rFonts w:ascii="等线 Light" w:hAnsi="等线 Light"/>
      <w:b/>
      <w:bCs/>
      <w:kern w:val="2"/>
      <w:sz w:val="24"/>
      <w:szCs w:val="32"/>
    </w:rPr>
  </w:style>
  <w:style w:type="character" w:customStyle="1" w:styleId="35">
    <w:name w:val="批注主题 字符"/>
    <w:link w:val="17"/>
    <w:qFormat/>
    <w:uiPriority w:val="0"/>
    <w:rPr>
      <w:b/>
      <w:bCs/>
      <w:kern w:val="2"/>
      <w:sz w:val="21"/>
      <w:szCs w:val="24"/>
    </w:rPr>
  </w:style>
  <w:style w:type="character" w:customStyle="1" w:styleId="36">
    <w:name w:val="页脚 字符"/>
    <w:qFormat/>
    <w:uiPriority w:val="99"/>
  </w:style>
  <w:style w:type="character" w:customStyle="1" w:styleId="37">
    <w:name w:val="前言大标题 Char"/>
    <w:link w:val="38"/>
    <w:qFormat/>
    <w:uiPriority w:val="0"/>
    <w:rPr>
      <w:rFonts w:eastAsia="黑体"/>
      <w:bCs/>
      <w:kern w:val="44"/>
      <w:sz w:val="32"/>
      <w:szCs w:val="44"/>
    </w:rPr>
  </w:style>
  <w:style w:type="paragraph" w:customStyle="1" w:styleId="38">
    <w:name w:val="前言大标题"/>
    <w:basedOn w:val="2"/>
    <w:link w:val="37"/>
    <w:qFormat/>
    <w:uiPriority w:val="0"/>
    <w:pPr>
      <w:spacing w:before="0" w:after="680" w:line="283" w:lineRule="auto"/>
      <w:ind w:firstLine="200" w:firstLineChars="200"/>
      <w:jc w:val="center"/>
      <w:outlineLvl w:val="9"/>
    </w:pPr>
    <w:rPr>
      <w:rFonts w:eastAsia="黑体"/>
      <w:b w:val="0"/>
      <w:sz w:val="32"/>
    </w:rPr>
  </w:style>
  <w:style w:type="character" w:customStyle="1" w:styleId="39">
    <w:name w:val="XN表内容 Char"/>
    <w:link w:val="40"/>
    <w:qFormat/>
    <w:uiPriority w:val="0"/>
    <w:rPr>
      <w:rFonts w:ascii="仿宋" w:hAnsi="仿宋"/>
      <w:color w:val="000000"/>
      <w:kern w:val="2"/>
      <w:sz w:val="21"/>
      <w:szCs w:val="24"/>
    </w:rPr>
  </w:style>
  <w:style w:type="paragraph" w:customStyle="1" w:styleId="40">
    <w:name w:val="XN表内容"/>
    <w:basedOn w:val="1"/>
    <w:link w:val="39"/>
    <w:qFormat/>
    <w:uiPriority w:val="0"/>
    <w:pPr>
      <w:spacing w:line="264" w:lineRule="auto"/>
      <w:jc w:val="center"/>
    </w:pPr>
    <w:rPr>
      <w:rFonts w:ascii="仿宋" w:hAnsi="仿宋"/>
      <w:color w:val="000000"/>
    </w:rPr>
  </w:style>
  <w:style w:type="paragraph" w:customStyle="1" w:styleId="41">
    <w:name w:val="WPSOffice手动目录 2"/>
    <w:qFormat/>
    <w:uiPriority w:val="0"/>
    <w:pPr>
      <w:ind w:leftChars="200"/>
    </w:pPr>
    <w:rPr>
      <w:rFonts w:ascii="Times New Roman" w:hAnsi="Times New Roman" w:eastAsia="宋体" w:cs="Times New Roman"/>
      <w:lang w:val="en-US" w:eastAsia="zh-CN" w:bidi="ar-SA"/>
    </w:rPr>
  </w:style>
  <w:style w:type="paragraph" w:customStyle="1" w:styleId="4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章条标题3级"/>
    <w:basedOn w:val="3"/>
    <w:qFormat/>
    <w:uiPriority w:val="0"/>
    <w:pPr>
      <w:tabs>
        <w:tab w:val="left" w:pos="397"/>
      </w:tabs>
      <w:spacing w:before="0" w:after="0" w:line="566" w:lineRule="auto"/>
      <w:jc w:val="left"/>
      <w:outlineLvl w:val="2"/>
    </w:pPr>
    <w:rPr>
      <w:rFonts w:ascii="Times New Roman" w:hAnsi="Times New Roman" w:eastAsia="黑体" w:cs="Times New Roman"/>
      <w:b w:val="0"/>
      <w:sz w:val="21"/>
    </w:rPr>
  </w:style>
  <w:style w:type="paragraph" w:customStyle="1" w:styleId="44">
    <w:name w:val="WPSOffice手动目录 1"/>
    <w:qFormat/>
    <w:uiPriority w:val="0"/>
    <w:rPr>
      <w:rFonts w:ascii="Times New Roman" w:hAnsi="Times New Roman" w:eastAsia="宋体" w:cs="Times New Roman"/>
      <w:lang w:val="en-US" w:eastAsia="zh-CN" w:bidi="ar-SA"/>
    </w:rPr>
  </w:style>
  <w:style w:type="paragraph" w:customStyle="1" w:styleId="45">
    <w:name w:val="章条标题4级"/>
    <w:basedOn w:val="43"/>
    <w:qFormat/>
    <w:uiPriority w:val="0"/>
    <w:pPr>
      <w:tabs>
        <w:tab w:val="clear" w:pos="397"/>
      </w:tabs>
      <w:outlineLvl w:val="3"/>
    </w:pPr>
  </w:style>
  <w:style w:type="paragraph" w:styleId="4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47">
    <w:name w:val="列出段落1"/>
    <w:basedOn w:val="1"/>
    <w:unhideWhenUsed/>
    <w:qFormat/>
    <w:uiPriority w:val="34"/>
    <w:pPr>
      <w:ind w:firstLine="420" w:firstLineChars="200"/>
    </w:pPr>
    <w:rPr>
      <w:rFonts w:eastAsia="仿宋_GB2312"/>
      <w:sz w:val="24"/>
      <w:szCs w:val="20"/>
    </w:rPr>
  </w:style>
  <w:style w:type="paragraph" w:customStyle="1" w:styleId="48">
    <w:name w:val="_Style 47"/>
    <w:basedOn w:val="2"/>
    <w:next w:val="1"/>
    <w:qFormat/>
    <w:uiPriority w:val="39"/>
    <w:pPr>
      <w:widowControl/>
      <w:spacing w:before="480" w:after="0" w:line="276" w:lineRule="auto"/>
      <w:jc w:val="left"/>
      <w:outlineLvl w:val="9"/>
    </w:pPr>
    <w:rPr>
      <w:rFonts w:ascii="等线 Light" w:hAnsi="等线 Light" w:eastAsia="等线 Light" w:cs="Times New Roman"/>
      <w:color w:val="2E74B5"/>
      <w:kern w:val="0"/>
      <w:sz w:val="28"/>
      <w:szCs w:val="28"/>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落雪梨花——扬帆技术论坛更新版</Company>
  <Pages>17</Pages>
  <Words>9685</Words>
  <Characters>9967</Characters>
  <Lines>81</Lines>
  <Paragraphs>22</Paragraphs>
  <TotalTime>1</TotalTime>
  <ScaleCrop>false</ScaleCrop>
  <LinksUpToDate>false</LinksUpToDate>
  <CharactersWithSpaces>10164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2018-05-04T05:30:00Z</dcterms:created>
  <dc:creator>user</dc:creator>
  <cp:lastModifiedBy>π的方程式</cp:lastModifiedBy>
  <cp:lastPrinted>2018-04-28T01:06:00Z</cp:lastPrinted>
  <dcterms:modified xsi:type="dcterms:W3CDTF">2023-01-31T06:16:05Z</dcterms:modified>
  <dc:title>社会责任报告</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9AADBB2EA25B4B70ACAA08511A167FC2</vt:lpwstr>
  </property>
</Properties>
</file>